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版本号：N510001202500013920250306001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四川省生态环境厅政务运维保障服务项目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N5100012025000139</w:t>
      </w:r>
    </w:p>
    <w:p>
      <w:pPr>
        <w:pStyle w:val="null3"/>
        <w:jc w:val="left"/>
        <w:outlineLvl w:val="2"/>
      </w:pPr>
      <w:r>
        <w:rPr>
          <w:rFonts w:ascii="仿宋_GB2312" w:hAnsi="仿宋_GB2312" w:cs="仿宋_GB2312" w:eastAsia="仿宋_GB2312"/>
          <w:sz w:val="28"/>
          <w:b/>
        </w:rPr>
        <w:t>四川省环境信息中心</w:t>
      </w:r>
    </w:p>
    <w:p>
      <w:pPr>
        <w:pStyle w:val="null3"/>
        <w:jc w:val="center"/>
        <w:outlineLvl w:val="2"/>
      </w:pPr>
      <w:r>
        <w:rPr>
          <w:rFonts w:ascii="仿宋_GB2312" w:hAnsi="仿宋_GB2312" w:cs="仿宋_GB2312" w:eastAsia="仿宋_GB2312"/>
          <w:sz w:val="28"/>
          <w:b/>
        </w:rPr>
        <w:t>四川汇合源招投标代理有限公司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四川汇合源招投标代理有限公司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四川省环境信息中心</w:t>
      </w:r>
      <w:r>
        <w:rPr>
          <w:rFonts w:ascii="仿宋_GB2312" w:hAnsi="仿宋_GB2312" w:cs="仿宋_GB2312" w:eastAsia="仿宋_GB2312"/>
        </w:rPr>
        <w:t xml:space="preserve"> 委托，拟对 </w:t>
      </w:r>
      <w:r>
        <w:rPr>
          <w:rFonts w:ascii="仿宋_GB2312" w:hAnsi="仿宋_GB2312" w:cs="仿宋_GB2312" w:eastAsia="仿宋_GB2312"/>
        </w:rPr>
        <w:t>四川省生态环境厅政务运维保障服务项目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省本级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N5100012025000139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四川省生态环境厅政务运维保障服务项目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持续保障四川省生态环境厅综合监管平台、四川省生态环境厅4A系统、四川省生态环境厅OA系统、四川省生态环境保护专项资金项目管理系统、四川省生态环境厅财务内控综合管理系统稳定高效运行，避免发生网络信息安全事件。同时按照最新业务需求，提供技术支撑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四川省环境信息中心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成都市高新区科园南路88号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祝老师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18980078522</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四川汇合源招投标代理有限公司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成都市武侯区太平园中四路 (星狮路818 号) 大合仓星商界4栋4单元302号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028-87774949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本采购包履约保证金为合同金额的10.0%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①　收款方：四川省环境信息中心</w:t>
              <w:br/>
              <w:t xml:space="preserve">②　交款时间：  政府采购合同签订后15个工作日  </w:t>
              <w:br/>
              <w:t xml:space="preserve">③　退款方式：  在项目最终验收后，最终运维质量考核得分达85分及以上，采购方接到中标人支付申请与正规发票后，向中标人无息退还履约保函，履约保函为合同价款的10%。  </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本项目代理服务费收费根据《四川省政府采购营商环境指标提升专项行动工作方案》中“成本+合理利润”原则，参照《国家计委关于印发(招标代理服务收费管理暂行办法)的通知》(计价格〔2002〕1980号)和 《国家发展改革委办公厅关于招标代理服务收费有关问题的通知》(发改办价格〔2003〕857号)标准的80%收取。</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四川省环境信息中心</w:t>
      </w:r>
      <w:r>
        <w:rPr>
          <w:rFonts w:ascii="仿宋_GB2312" w:hAnsi="仿宋_GB2312" w:cs="仿宋_GB2312" w:eastAsia="仿宋_GB2312"/>
        </w:rPr>
        <w:t xml:space="preserve"> 和 </w:t>
      </w:r>
      <w:r>
        <w:rPr>
          <w:rFonts w:ascii="仿宋_GB2312" w:hAnsi="仿宋_GB2312" w:cs="仿宋_GB2312" w:eastAsia="仿宋_GB2312"/>
        </w:rPr>
        <w:t>四川汇合源招投标代理有限公司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四川省环境信息中心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四川汇合源招投标代理有限公司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中标人运维服务期满,采购方确认本合同约定事项己经履行完毕，无重大质量问题，即可验收</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号）、《政府采购需求管理办法》和根据国家相关规定、招标文件要求、中标人的投标文件及承诺以及合同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号）、《政府采购需求管理办法》和根据国家相关规定、招标文件要求、中标人的投标文件及承诺以及合同约定标准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详见技术参数性能指标</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号）、《政府采购需求管理办法》和根据国家相关规定、招标文件要求、中标人的投标文件及承诺以及合同约定标准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四川省环境信息中心</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四川汇合源招投标代理有限公司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四川汇合源招投标代理有限公司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联系人：祝老师</w:t>
      </w:r>
    </w:p>
    <w:p>
      <w:pPr>
        <w:pStyle w:val="null3"/>
        <w:jc w:val="left"/>
      </w:pPr>
      <w:r>
        <w:rPr>
          <w:rFonts w:ascii="仿宋_GB2312" w:hAnsi="仿宋_GB2312" w:cs="仿宋_GB2312" w:eastAsia="仿宋_GB2312"/>
        </w:rPr>
        <w:t>联系电话：18980078522</w:t>
      </w:r>
    </w:p>
    <w:p>
      <w:pPr>
        <w:pStyle w:val="null3"/>
        <w:jc w:val="left"/>
      </w:pPr>
      <w:r>
        <w:rPr>
          <w:rFonts w:ascii="仿宋_GB2312" w:hAnsi="仿宋_GB2312" w:cs="仿宋_GB2312" w:eastAsia="仿宋_GB2312"/>
        </w:rPr>
        <w:t>地址：成都市高新区科园南路88号</w:t>
      </w:r>
    </w:p>
    <w:p>
      <w:pPr>
        <w:pStyle w:val="null3"/>
        <w:jc w:val="left"/>
      </w:pPr>
      <w:r>
        <w:rPr>
          <w:rFonts w:ascii="仿宋_GB2312" w:hAnsi="仿宋_GB2312" w:cs="仿宋_GB2312" w:eastAsia="仿宋_GB2312"/>
        </w:rPr>
        <w:t>邮编：610000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联系人：黄先生</w:t>
      </w:r>
    </w:p>
    <w:p>
      <w:pPr>
        <w:pStyle w:val="null3"/>
        <w:jc w:val="left"/>
      </w:pPr>
      <w:r>
        <w:rPr>
          <w:rFonts w:ascii="仿宋_GB2312" w:hAnsi="仿宋_GB2312" w:cs="仿宋_GB2312" w:eastAsia="仿宋_GB2312"/>
        </w:rPr>
        <w:t>联系电话： 028-87774949</w:t>
      </w:r>
    </w:p>
    <w:p>
      <w:pPr>
        <w:pStyle w:val="null3"/>
        <w:jc w:val="left"/>
      </w:pPr>
      <w:r>
        <w:rPr>
          <w:rFonts w:ascii="仿宋_GB2312" w:hAnsi="仿宋_GB2312" w:cs="仿宋_GB2312" w:eastAsia="仿宋_GB2312"/>
        </w:rPr>
        <w:t>地址：成都市武侯区太平园中四路 (星狮路818 号) 大合仓星商界4栋4单元302号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2,920,000.00</w:t>
      </w:r>
    </w:p>
    <w:p>
      <w:pPr>
        <w:pStyle w:val="null3"/>
        <w:jc w:val="left"/>
      </w:pPr>
      <w:r>
        <w:rPr>
          <w:rFonts w:ascii="仿宋_GB2312" w:hAnsi="仿宋_GB2312" w:cs="仿宋_GB2312" w:eastAsia="仿宋_GB2312"/>
        </w:rPr>
        <w:t>采购包最高限价（元）: 2,920,000.00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C16070300 软件运维服务</w:t>
            </w:r>
          </w:p>
        </w:tc>
        <w:tc>
          <w:tcPr>
            <w:tcW w:type="dxa" w:w="821"/>
          </w:tcPr>
          <w:p>
            <w:pPr>
              <w:pStyle w:val="null3"/>
              <w:jc w:val="left"/>
            </w:pPr>
            <w:r>
              <w:rPr>
                <w:rFonts w:ascii="仿宋_GB2312" w:hAnsi="仿宋_GB2312" w:cs="仿宋_GB2312" w:eastAsia="仿宋_GB2312"/>
              </w:rPr>
              <w:t>四川省生态环境厅政务运维保障服务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2,920,000.00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四川省生态环境厅政务运维保障服务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2,920,000.00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标的名称：四川省生态环境厅政务运维保障服务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81"/>
              <w:jc w:val="both"/>
            </w:pPr>
            <w:r>
              <w:rPr>
                <w:rFonts w:ascii="仿宋_GB2312" w:hAnsi="仿宋_GB2312" w:cs="仿宋_GB2312" w:eastAsia="仿宋_GB2312"/>
                <w:sz w:val="24"/>
                <w:b/>
              </w:rPr>
              <w:t>1</w:t>
            </w:r>
            <w:r>
              <w:rPr>
                <w:rFonts w:ascii="仿宋_GB2312" w:hAnsi="仿宋_GB2312" w:cs="仿宋_GB2312" w:eastAsia="仿宋_GB2312"/>
                <w:sz w:val="24"/>
                <w:b/>
              </w:rPr>
              <w:t>服务背景</w:t>
            </w:r>
          </w:p>
          <w:p>
            <w:pPr>
              <w:pStyle w:val="null3"/>
              <w:ind w:firstLine="480"/>
              <w:jc w:val="both"/>
            </w:pPr>
            <w:r>
              <w:rPr>
                <w:rFonts w:ascii="仿宋_GB2312" w:hAnsi="仿宋_GB2312" w:cs="仿宋_GB2312" w:eastAsia="仿宋_GB2312"/>
                <w:sz w:val="24"/>
              </w:rPr>
              <w:t>为持续保障四川省生态环境厅基础办公类信息系统正常运转，有效保障各级生态环境部门日常办公，现将四川省生态环境厅综合监管平台、四川省生态环境厅</w:t>
            </w:r>
            <w:r>
              <w:rPr>
                <w:rFonts w:ascii="仿宋_GB2312" w:hAnsi="仿宋_GB2312" w:cs="仿宋_GB2312" w:eastAsia="仿宋_GB2312"/>
                <w:sz w:val="24"/>
              </w:rPr>
              <w:t>4A</w:t>
            </w:r>
            <w:r>
              <w:rPr>
                <w:rFonts w:ascii="仿宋_GB2312" w:hAnsi="仿宋_GB2312" w:cs="仿宋_GB2312" w:eastAsia="仿宋_GB2312"/>
                <w:sz w:val="24"/>
              </w:rPr>
              <w:t>系统、四川省生态环境厅</w:t>
            </w:r>
            <w:r>
              <w:rPr>
                <w:rFonts w:ascii="仿宋_GB2312" w:hAnsi="仿宋_GB2312" w:cs="仿宋_GB2312" w:eastAsia="仿宋_GB2312"/>
                <w:sz w:val="24"/>
              </w:rPr>
              <w:t>OA</w:t>
            </w:r>
            <w:r>
              <w:rPr>
                <w:rFonts w:ascii="仿宋_GB2312" w:hAnsi="仿宋_GB2312" w:cs="仿宋_GB2312" w:eastAsia="仿宋_GB2312"/>
                <w:sz w:val="24"/>
              </w:rPr>
              <w:t>系统、四川省生态环境保护专项资金项目管理系统、四川省生态环境厅财务内控综合管理系统进行统一的运维服务管理工作，通过统一规范、统一监督、统一考核来有力提升业务系统运行效能。</w:t>
            </w:r>
          </w:p>
          <w:p>
            <w:pPr>
              <w:pStyle w:val="null3"/>
              <w:ind w:firstLine="481"/>
              <w:jc w:val="both"/>
            </w:pPr>
            <w:r>
              <w:rPr>
                <w:rFonts w:ascii="仿宋_GB2312" w:hAnsi="仿宋_GB2312" w:cs="仿宋_GB2312" w:eastAsia="仿宋_GB2312"/>
                <w:sz w:val="24"/>
                <w:b/>
              </w:rPr>
              <w:t>2</w:t>
            </w:r>
            <w:r>
              <w:rPr>
                <w:rFonts w:ascii="仿宋_GB2312" w:hAnsi="仿宋_GB2312" w:cs="仿宋_GB2312" w:eastAsia="仿宋_GB2312"/>
                <w:sz w:val="24"/>
                <w:b/>
              </w:rPr>
              <w:t>服务现状</w:t>
            </w:r>
          </w:p>
          <w:p>
            <w:pPr>
              <w:pStyle w:val="null3"/>
              <w:ind w:firstLine="480"/>
              <w:jc w:val="both"/>
            </w:pPr>
            <w:r>
              <w:rPr>
                <w:rFonts w:ascii="仿宋_GB2312" w:hAnsi="仿宋_GB2312" w:cs="仿宋_GB2312" w:eastAsia="仿宋_GB2312"/>
                <w:sz w:val="24"/>
              </w:rPr>
              <w:t>2024</w:t>
            </w:r>
            <w:r>
              <w:rPr>
                <w:rFonts w:ascii="仿宋_GB2312" w:hAnsi="仿宋_GB2312" w:cs="仿宋_GB2312" w:eastAsia="仿宋_GB2312"/>
                <w:sz w:val="24"/>
              </w:rPr>
              <w:t>年，我中心规划了统一的政务运维保障服务项目，包含四川省生态环境厅电子政务综合管理平台、四川省生态环境厅</w:t>
            </w:r>
            <w:r>
              <w:rPr>
                <w:rFonts w:ascii="仿宋_GB2312" w:hAnsi="仿宋_GB2312" w:cs="仿宋_GB2312" w:eastAsia="仿宋_GB2312"/>
                <w:sz w:val="24"/>
              </w:rPr>
              <w:t>4A</w:t>
            </w:r>
            <w:r>
              <w:rPr>
                <w:rFonts w:ascii="仿宋_GB2312" w:hAnsi="仿宋_GB2312" w:cs="仿宋_GB2312" w:eastAsia="仿宋_GB2312"/>
                <w:sz w:val="24"/>
              </w:rPr>
              <w:t>系统、四川省生态环境厅</w:t>
            </w:r>
            <w:r>
              <w:rPr>
                <w:rFonts w:ascii="仿宋_GB2312" w:hAnsi="仿宋_GB2312" w:cs="仿宋_GB2312" w:eastAsia="仿宋_GB2312"/>
                <w:sz w:val="24"/>
              </w:rPr>
              <w:t>OA</w:t>
            </w:r>
            <w:r>
              <w:rPr>
                <w:rFonts w:ascii="仿宋_GB2312" w:hAnsi="仿宋_GB2312" w:cs="仿宋_GB2312" w:eastAsia="仿宋_GB2312"/>
                <w:sz w:val="24"/>
              </w:rPr>
              <w:t>系统、四川省生态环境保护专项资金项目管理系统、四川省生态环境厅财务内控综合管理系统运维保障工作，通过统一规范、统一监督、统一考核来提升应用运行效能。目前运维服务将于</w:t>
            </w: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5</w:t>
            </w:r>
            <w:r>
              <w:rPr>
                <w:rFonts w:ascii="仿宋_GB2312" w:hAnsi="仿宋_GB2312" w:cs="仿宋_GB2312" w:eastAsia="仿宋_GB2312"/>
                <w:sz w:val="24"/>
              </w:rPr>
              <w:t>月到期。同时，按照我厅最新业务需求及信息化创新工作规划，专项资金系统、专家库系统等应用需要做好优化以及相关信息化创新适配改造，</w:t>
            </w:r>
            <w:r>
              <w:rPr>
                <w:rFonts w:ascii="仿宋_GB2312" w:hAnsi="仿宋_GB2312" w:cs="仿宋_GB2312" w:eastAsia="仿宋_GB2312"/>
                <w:sz w:val="24"/>
              </w:rPr>
              <w:t>4A</w:t>
            </w:r>
            <w:r>
              <w:rPr>
                <w:rFonts w:ascii="仿宋_GB2312" w:hAnsi="仿宋_GB2312" w:cs="仿宋_GB2312" w:eastAsia="仿宋_GB2312"/>
                <w:sz w:val="24"/>
              </w:rPr>
              <w:t>用户体系系统需要做好密码改造工作。</w:t>
            </w:r>
          </w:p>
          <w:p>
            <w:pPr>
              <w:pStyle w:val="null3"/>
              <w:ind w:firstLine="481"/>
              <w:jc w:val="both"/>
            </w:pPr>
            <w:r>
              <w:rPr>
                <w:rFonts w:ascii="仿宋_GB2312" w:hAnsi="仿宋_GB2312" w:cs="仿宋_GB2312" w:eastAsia="仿宋_GB2312"/>
                <w:sz w:val="24"/>
                <w:b/>
              </w:rPr>
              <w:t>3</w:t>
            </w:r>
            <w:r>
              <w:rPr>
                <w:rFonts w:ascii="仿宋_GB2312" w:hAnsi="仿宋_GB2312" w:cs="仿宋_GB2312" w:eastAsia="仿宋_GB2312"/>
                <w:sz w:val="24"/>
                <w:b/>
              </w:rPr>
              <w:t>服务目标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）持续保障四川省生态环境厅电子政务综合监管平台（含移动端）、四川省生态环境厅</w:t>
            </w:r>
            <w:r>
              <w:rPr>
                <w:rFonts w:ascii="仿宋_GB2312" w:hAnsi="仿宋_GB2312" w:cs="仿宋_GB2312" w:eastAsia="仿宋_GB2312"/>
                <w:sz w:val="24"/>
              </w:rPr>
              <w:t>4A</w:t>
            </w:r>
            <w:r>
              <w:rPr>
                <w:rFonts w:ascii="仿宋_GB2312" w:hAnsi="仿宋_GB2312" w:cs="仿宋_GB2312" w:eastAsia="仿宋_GB2312"/>
                <w:sz w:val="24"/>
              </w:rPr>
              <w:t>系统、四川省生态环境厅</w:t>
            </w:r>
            <w:r>
              <w:rPr>
                <w:rFonts w:ascii="仿宋_GB2312" w:hAnsi="仿宋_GB2312" w:cs="仿宋_GB2312" w:eastAsia="仿宋_GB2312"/>
                <w:sz w:val="24"/>
              </w:rPr>
              <w:t>OA</w:t>
            </w:r>
            <w:r>
              <w:rPr>
                <w:rFonts w:ascii="仿宋_GB2312" w:hAnsi="仿宋_GB2312" w:cs="仿宋_GB2312" w:eastAsia="仿宋_GB2312"/>
                <w:sz w:val="24"/>
              </w:rPr>
              <w:t>系统、四川省生态环境保护专项资金项目管理系统、四川省生态环境厅财务内控综合管理系统稳定高效运行，避免发生网络信息安全事件，提供系统日常维护、巡检及对接等工作。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OA</w:t>
            </w:r>
            <w:r>
              <w:rPr>
                <w:rFonts w:ascii="仿宋_GB2312" w:hAnsi="仿宋_GB2312" w:cs="仿宋_GB2312" w:eastAsia="仿宋_GB2312"/>
                <w:sz w:val="24"/>
              </w:rPr>
              <w:t>版本升级</w:t>
            </w:r>
            <w:r>
              <w:rPr>
                <w:rFonts w:ascii="仿宋_GB2312" w:hAnsi="仿宋_GB2312" w:cs="仿宋_GB2312" w:eastAsia="仿宋_GB2312"/>
                <w:sz w:val="24"/>
              </w:rPr>
              <w:t>及鸿蒙底座适配</w:t>
            </w:r>
            <w:r>
              <w:rPr>
                <w:rFonts w:ascii="仿宋_GB2312" w:hAnsi="仿宋_GB2312" w:cs="仿宋_GB2312" w:eastAsia="仿宋_GB2312"/>
                <w:sz w:val="24"/>
              </w:rPr>
              <w:t>、四川省生态环境厅电子政务综合监管平台移动端</w:t>
            </w:r>
            <w:r>
              <w:rPr>
                <w:rFonts w:ascii="仿宋_GB2312" w:hAnsi="仿宋_GB2312" w:cs="仿宋_GB2312" w:eastAsia="仿宋_GB2312"/>
                <w:sz w:val="24"/>
              </w:rPr>
              <w:t>鸿蒙底座适配、</w:t>
            </w:r>
            <w:r>
              <w:rPr>
                <w:rFonts w:ascii="仿宋_GB2312" w:hAnsi="仿宋_GB2312" w:cs="仿宋_GB2312" w:eastAsia="仿宋_GB2312"/>
                <w:sz w:val="24"/>
              </w:rPr>
              <w:t>专家库</w:t>
            </w:r>
            <w:r>
              <w:rPr>
                <w:rFonts w:ascii="仿宋_GB2312" w:hAnsi="仿宋_GB2312" w:cs="仿宋_GB2312" w:eastAsia="仿宋_GB2312"/>
                <w:sz w:val="24"/>
              </w:rPr>
              <w:t>AI</w:t>
            </w:r>
            <w:r>
              <w:rPr>
                <w:rFonts w:ascii="仿宋_GB2312" w:hAnsi="仿宋_GB2312" w:cs="仿宋_GB2312" w:eastAsia="仿宋_GB2312"/>
                <w:sz w:val="24"/>
              </w:rPr>
              <w:t>智能语音服务、相关系统信创适配</w:t>
            </w:r>
            <w:r>
              <w:rPr>
                <w:rFonts w:ascii="仿宋_GB2312" w:hAnsi="仿宋_GB2312" w:cs="仿宋_GB2312" w:eastAsia="仿宋_GB2312"/>
                <w:sz w:val="24"/>
              </w:rPr>
              <w:t>及功能优化</w:t>
            </w:r>
            <w:r>
              <w:rPr>
                <w:rFonts w:ascii="仿宋_GB2312" w:hAnsi="仿宋_GB2312" w:cs="仿宋_GB2312" w:eastAsia="仿宋_GB2312"/>
                <w:sz w:val="24"/>
              </w:rPr>
              <w:t>、</w:t>
            </w:r>
            <w:r>
              <w:rPr>
                <w:rFonts w:ascii="仿宋_GB2312" w:hAnsi="仿宋_GB2312" w:cs="仿宋_GB2312" w:eastAsia="仿宋_GB2312"/>
                <w:sz w:val="24"/>
              </w:rPr>
              <w:t>4A</w:t>
            </w:r>
            <w:r>
              <w:rPr>
                <w:rFonts w:ascii="仿宋_GB2312" w:hAnsi="仿宋_GB2312" w:cs="仿宋_GB2312" w:eastAsia="仿宋_GB2312"/>
                <w:sz w:val="24"/>
              </w:rPr>
              <w:t>系统密码改造；根据市州实际工作需求，提供政务办公门户子应用新增或优化配置。</w:t>
            </w:r>
          </w:p>
          <w:p>
            <w:pPr>
              <w:pStyle w:val="null3"/>
              <w:ind w:firstLine="481"/>
              <w:jc w:val="both"/>
            </w:pPr>
            <w:r>
              <w:rPr>
                <w:rFonts w:ascii="仿宋_GB2312" w:hAnsi="仿宋_GB2312" w:cs="仿宋_GB2312" w:eastAsia="仿宋_GB2312"/>
                <w:sz w:val="24"/>
                <w:b/>
              </w:rPr>
              <w:t>4</w:t>
            </w:r>
            <w:r>
              <w:rPr>
                <w:rFonts w:ascii="仿宋_GB2312" w:hAnsi="仿宋_GB2312" w:cs="仿宋_GB2312" w:eastAsia="仿宋_GB2312"/>
                <w:sz w:val="24"/>
                <w:b/>
              </w:rPr>
              <w:t>服务周期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）技术支撑服务</w:t>
            </w:r>
          </w:p>
          <w:p>
            <w:pPr>
              <w:pStyle w:val="null3"/>
              <w:ind w:firstLine="480"/>
              <w:jc w:val="both"/>
            </w:pPr>
            <w:r>
              <w:rPr>
                <w:rFonts w:ascii="仿宋_GB2312" w:hAnsi="仿宋_GB2312" w:cs="仿宋_GB2312" w:eastAsia="仿宋_GB2312"/>
                <w:sz w:val="24"/>
              </w:rPr>
              <w:t>自项目合同签订之日起，服务方即开展技术支撑相关工作，直到完成全部优化内容。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）运维保障服务</w:t>
            </w:r>
          </w:p>
          <w:p>
            <w:pPr>
              <w:pStyle w:val="null3"/>
              <w:ind w:firstLine="480"/>
              <w:jc w:val="both"/>
            </w:pPr>
            <w:r>
              <w:rPr>
                <w:rFonts w:ascii="仿宋_GB2312" w:hAnsi="仿宋_GB2312" w:cs="仿宋_GB2312" w:eastAsia="仿宋_GB2312"/>
                <w:sz w:val="24"/>
              </w:rPr>
              <w:t>自</w:t>
            </w: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6</w:t>
            </w:r>
            <w:r>
              <w:rPr>
                <w:rFonts w:ascii="仿宋_GB2312" w:hAnsi="仿宋_GB2312" w:cs="仿宋_GB2312" w:eastAsia="仿宋_GB2312"/>
                <w:sz w:val="24"/>
              </w:rPr>
              <w:t>月</w:t>
            </w:r>
            <w:r>
              <w:rPr>
                <w:rFonts w:ascii="仿宋_GB2312" w:hAnsi="仿宋_GB2312" w:cs="仿宋_GB2312" w:eastAsia="仿宋_GB2312"/>
                <w:sz w:val="24"/>
              </w:rPr>
              <w:t>1</w:t>
            </w:r>
            <w:r>
              <w:rPr>
                <w:rFonts w:ascii="仿宋_GB2312" w:hAnsi="仿宋_GB2312" w:cs="仿宋_GB2312" w:eastAsia="仿宋_GB2312"/>
                <w:sz w:val="24"/>
              </w:rPr>
              <w:t>日起至</w:t>
            </w:r>
            <w:r>
              <w:rPr>
                <w:rFonts w:ascii="仿宋_GB2312" w:hAnsi="仿宋_GB2312" w:cs="仿宋_GB2312" w:eastAsia="仿宋_GB2312"/>
                <w:sz w:val="24"/>
              </w:rPr>
              <w:t>2026</w:t>
            </w:r>
            <w:r>
              <w:rPr>
                <w:rFonts w:ascii="仿宋_GB2312" w:hAnsi="仿宋_GB2312" w:cs="仿宋_GB2312" w:eastAsia="仿宋_GB2312"/>
                <w:sz w:val="24"/>
              </w:rPr>
              <w:t>年</w:t>
            </w:r>
            <w:r>
              <w:rPr>
                <w:rFonts w:ascii="仿宋_GB2312" w:hAnsi="仿宋_GB2312" w:cs="仿宋_GB2312" w:eastAsia="仿宋_GB2312"/>
                <w:sz w:val="24"/>
              </w:rPr>
              <w:t>5</w:t>
            </w:r>
            <w:r>
              <w:rPr>
                <w:rFonts w:ascii="仿宋_GB2312" w:hAnsi="仿宋_GB2312" w:cs="仿宋_GB2312" w:eastAsia="仿宋_GB2312"/>
                <w:sz w:val="24"/>
              </w:rPr>
              <w:t>月</w:t>
            </w:r>
            <w:r>
              <w:rPr>
                <w:rFonts w:ascii="仿宋_GB2312" w:hAnsi="仿宋_GB2312" w:cs="仿宋_GB2312" w:eastAsia="仿宋_GB2312"/>
                <w:sz w:val="24"/>
              </w:rPr>
              <w:t>31</w:t>
            </w:r>
            <w:r>
              <w:rPr>
                <w:rFonts w:ascii="仿宋_GB2312" w:hAnsi="仿宋_GB2312" w:cs="仿宋_GB2312" w:eastAsia="仿宋_GB2312"/>
                <w:sz w:val="24"/>
              </w:rPr>
              <w:t>日结束，为期一年。（自运维服务期开始起</w:t>
            </w:r>
            <w:r>
              <w:rPr>
                <w:rFonts w:ascii="仿宋_GB2312" w:hAnsi="仿宋_GB2312" w:cs="仿宋_GB2312" w:eastAsia="仿宋_GB2312"/>
                <w:sz w:val="24"/>
              </w:rPr>
              <w:t>15</w:t>
            </w:r>
            <w:r>
              <w:rPr>
                <w:rFonts w:ascii="仿宋_GB2312" w:hAnsi="仿宋_GB2312" w:cs="仿宋_GB2312" w:eastAsia="仿宋_GB2312"/>
                <w:sz w:val="24"/>
              </w:rPr>
              <w:t>个工作日内，服务方应同各系统原服务方完成工作交接；运维服务到期并完成项目验收后，</w:t>
            </w:r>
            <w:r>
              <w:rPr>
                <w:rFonts w:ascii="仿宋_GB2312" w:hAnsi="仿宋_GB2312" w:cs="仿宋_GB2312" w:eastAsia="仿宋_GB2312"/>
                <w:sz w:val="24"/>
              </w:rPr>
              <w:t>原</w:t>
            </w:r>
            <w:r>
              <w:rPr>
                <w:rFonts w:ascii="仿宋_GB2312" w:hAnsi="仿宋_GB2312" w:cs="仿宋_GB2312" w:eastAsia="仿宋_GB2312"/>
                <w:sz w:val="24"/>
              </w:rPr>
              <w:t>服务方应与新服务方完成工作交接后方可离场。）</w:t>
            </w:r>
          </w:p>
          <w:p>
            <w:pPr>
              <w:pStyle w:val="null3"/>
              <w:ind w:firstLine="481"/>
              <w:jc w:val="both"/>
            </w:pPr>
            <w:r>
              <w:rPr>
                <w:rFonts w:ascii="仿宋_GB2312" w:hAnsi="仿宋_GB2312" w:cs="仿宋_GB2312" w:eastAsia="仿宋_GB2312"/>
                <w:sz w:val="24"/>
                <w:b/>
              </w:rPr>
              <w:t>5</w:t>
            </w:r>
            <w:r>
              <w:rPr>
                <w:rFonts w:ascii="仿宋_GB2312" w:hAnsi="仿宋_GB2312" w:cs="仿宋_GB2312" w:eastAsia="仿宋_GB2312"/>
                <w:sz w:val="24"/>
                <w:b/>
              </w:rPr>
              <w:t>服务内容</w:t>
            </w:r>
          </w:p>
          <w:p>
            <w:pPr>
              <w:pStyle w:val="null3"/>
              <w:ind w:firstLine="562"/>
              <w:jc w:val="both"/>
            </w:pPr>
            <w:r>
              <w:rPr>
                <w:rFonts w:ascii="仿宋_GB2312" w:hAnsi="仿宋_GB2312" w:cs="仿宋_GB2312" w:eastAsia="仿宋_GB2312"/>
                <w:sz w:val="28"/>
                <w:b/>
              </w:rPr>
              <w:t>5.1</w:t>
            </w:r>
            <w:r>
              <w:rPr>
                <w:rFonts w:ascii="仿宋_GB2312" w:hAnsi="仿宋_GB2312" w:cs="仿宋_GB2312" w:eastAsia="仿宋_GB2312"/>
                <w:sz w:val="28"/>
                <w:b/>
              </w:rPr>
              <w:t>技术支撑服务</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OA</w:t>
            </w:r>
            <w:r>
              <w:rPr>
                <w:rFonts w:ascii="仿宋_GB2312" w:hAnsi="仿宋_GB2312" w:cs="仿宋_GB2312" w:eastAsia="仿宋_GB2312"/>
                <w:sz w:val="28"/>
                <w:b/>
              </w:rPr>
              <w:t>系统版本升级优化</w:t>
            </w:r>
          </w:p>
          <w:p>
            <w:pPr>
              <w:pStyle w:val="null3"/>
              <w:ind w:firstLine="480"/>
              <w:jc w:val="both"/>
            </w:pPr>
            <w:r>
              <w:rPr>
                <w:rFonts w:ascii="仿宋_GB2312" w:hAnsi="仿宋_GB2312" w:cs="仿宋_GB2312" w:eastAsia="仿宋_GB2312"/>
                <w:sz w:val="24"/>
              </w:rPr>
              <w:t>将现有</w:t>
            </w:r>
            <w:r>
              <w:rPr>
                <w:rFonts w:ascii="仿宋_GB2312" w:hAnsi="仿宋_GB2312" w:cs="仿宋_GB2312" w:eastAsia="仿宋_GB2312"/>
                <w:sz w:val="24"/>
              </w:rPr>
              <w:t>G6-NV5.0</w:t>
            </w:r>
            <w:r>
              <w:rPr>
                <w:rFonts w:ascii="仿宋_GB2312" w:hAnsi="仿宋_GB2312" w:cs="仿宋_GB2312" w:eastAsia="仿宋_GB2312"/>
                <w:sz w:val="24"/>
              </w:rPr>
              <w:t>升级到最新的版本</w:t>
            </w:r>
            <w:r>
              <w:rPr>
                <w:rFonts w:ascii="仿宋_GB2312" w:hAnsi="仿宋_GB2312" w:cs="仿宋_GB2312" w:eastAsia="仿宋_GB2312"/>
                <w:sz w:val="24"/>
              </w:rPr>
              <w:t>，流版签全面升级，支持全面解决去控件化，适配鸿蒙系统底座，提升系统性能、扩展功能、增强安全性、优化用户体验，并适应数字化转型的需求。</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）系统性能优化提升</w:t>
            </w:r>
          </w:p>
          <w:p>
            <w:pPr>
              <w:pStyle w:val="null3"/>
              <w:ind w:firstLine="480"/>
              <w:jc w:val="both"/>
            </w:pPr>
            <w:r>
              <w:rPr>
                <w:rFonts w:ascii="仿宋_GB2312" w:hAnsi="仿宋_GB2312" w:cs="仿宋_GB2312" w:eastAsia="仿宋_GB2312"/>
                <w:sz w:val="24"/>
              </w:rPr>
              <w:t>根据日常办公需求，提升公文质量，续买</w:t>
            </w:r>
            <w:r>
              <w:rPr>
                <w:rFonts w:ascii="仿宋_GB2312" w:hAnsi="仿宋_GB2312" w:cs="仿宋_GB2312" w:eastAsia="仿宋_GB2312"/>
                <w:sz w:val="24"/>
              </w:rPr>
              <w:t>30</w:t>
            </w:r>
            <w:r>
              <w:rPr>
                <w:rFonts w:ascii="仿宋_GB2312" w:hAnsi="仿宋_GB2312" w:cs="仿宋_GB2312" w:eastAsia="仿宋_GB2312"/>
                <w:sz w:val="24"/>
              </w:rPr>
              <w:t>个智能纠错</w:t>
            </w:r>
            <w:r>
              <w:rPr>
                <w:rFonts w:ascii="仿宋_GB2312" w:hAnsi="仿宋_GB2312" w:cs="仿宋_GB2312" w:eastAsia="仿宋_GB2312"/>
                <w:sz w:val="24"/>
              </w:rPr>
              <w:t>WPS</w:t>
            </w:r>
            <w:r>
              <w:rPr>
                <w:rFonts w:ascii="仿宋_GB2312" w:hAnsi="仿宋_GB2312" w:cs="仿宋_GB2312" w:eastAsia="仿宋_GB2312"/>
                <w:sz w:val="24"/>
              </w:rPr>
              <w:t>端授权账号。根据市州业务办公需求，提供四川省生态环境综合监管平台子应用功能完善或优化服务（含移动端功能）</w:t>
            </w:r>
            <w:r>
              <w:rPr>
                <w:rFonts w:ascii="仿宋_GB2312" w:hAnsi="仿宋_GB2312" w:cs="仿宋_GB2312" w:eastAsia="仿宋_GB2312"/>
                <w:sz w:val="24"/>
              </w:rPr>
              <w:t>。根据业务处室需求，提供四川省生态环境厅财务内控系统移动端功能优化，</w:t>
            </w:r>
            <w:r>
              <w:rPr>
                <w:rFonts w:ascii="仿宋_GB2312" w:hAnsi="仿宋_GB2312" w:cs="仿宋_GB2312" w:eastAsia="仿宋_GB2312"/>
                <w:sz w:val="24"/>
              </w:rPr>
              <w:t>完成</w:t>
            </w:r>
            <w:r>
              <w:rPr>
                <w:rFonts w:ascii="仿宋_GB2312" w:hAnsi="仿宋_GB2312" w:cs="仿宋_GB2312" w:eastAsia="仿宋_GB2312"/>
                <w:sz w:val="24"/>
              </w:rPr>
              <w:t>四川省生态环境厅电子政务综合监管平台移动端</w:t>
            </w:r>
            <w:r>
              <w:rPr>
                <w:rFonts w:ascii="仿宋_GB2312" w:hAnsi="仿宋_GB2312" w:cs="仿宋_GB2312" w:eastAsia="仿宋_GB2312"/>
                <w:sz w:val="24"/>
              </w:rPr>
              <w:t>鸿蒙底座适配</w:t>
            </w:r>
            <w:r>
              <w:rPr>
                <w:rFonts w:ascii="仿宋_GB2312" w:hAnsi="仿宋_GB2312" w:cs="仿宋_GB2312" w:eastAsia="仿宋_GB2312"/>
                <w:sz w:val="24"/>
              </w:rPr>
              <w:t>。</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3</w:t>
            </w:r>
            <w:r>
              <w:rPr>
                <w:rFonts w:ascii="仿宋_GB2312" w:hAnsi="仿宋_GB2312" w:cs="仿宋_GB2312" w:eastAsia="仿宋_GB2312"/>
                <w:sz w:val="28"/>
                <w:b/>
              </w:rPr>
              <w:t>）专家库语音</w:t>
            </w:r>
            <w:r>
              <w:rPr>
                <w:rFonts w:ascii="仿宋_GB2312" w:hAnsi="仿宋_GB2312" w:cs="仿宋_GB2312" w:eastAsia="仿宋_GB2312"/>
                <w:sz w:val="28"/>
                <w:b/>
              </w:rPr>
              <w:t>AI</w:t>
            </w:r>
            <w:r>
              <w:rPr>
                <w:rFonts w:ascii="仿宋_GB2312" w:hAnsi="仿宋_GB2312" w:cs="仿宋_GB2312" w:eastAsia="仿宋_GB2312"/>
                <w:sz w:val="28"/>
                <w:b/>
              </w:rPr>
              <w:t>电话功能</w:t>
            </w:r>
          </w:p>
          <w:p>
            <w:pPr>
              <w:pStyle w:val="null3"/>
              <w:ind w:firstLine="480"/>
              <w:jc w:val="both"/>
            </w:pPr>
            <w:r>
              <w:rPr>
                <w:rFonts w:ascii="仿宋_GB2312" w:hAnsi="仿宋_GB2312" w:cs="仿宋_GB2312" w:eastAsia="仿宋_GB2312"/>
                <w:sz w:val="24"/>
              </w:rPr>
              <w:t>根据厅内业务处室工作需求，优化专家抽取服务，部署</w:t>
            </w:r>
            <w:r>
              <w:rPr>
                <w:rFonts w:ascii="仿宋_GB2312" w:hAnsi="仿宋_GB2312" w:cs="仿宋_GB2312" w:eastAsia="仿宋_GB2312"/>
                <w:sz w:val="24"/>
              </w:rPr>
              <w:t>AI</w:t>
            </w:r>
            <w:r>
              <w:rPr>
                <w:rFonts w:ascii="仿宋_GB2312" w:hAnsi="仿宋_GB2312" w:cs="仿宋_GB2312" w:eastAsia="仿宋_GB2312"/>
                <w:sz w:val="24"/>
              </w:rPr>
              <w:t>智能语音通话服务，并同厅专家库管理系统对接打通，实现在短信抽取中同步给专家拨打</w:t>
            </w:r>
            <w:r>
              <w:rPr>
                <w:rFonts w:ascii="仿宋_GB2312" w:hAnsi="仿宋_GB2312" w:cs="仿宋_GB2312" w:eastAsia="仿宋_GB2312"/>
                <w:sz w:val="24"/>
              </w:rPr>
              <w:t>AI</w:t>
            </w:r>
            <w:r>
              <w:rPr>
                <w:rFonts w:ascii="仿宋_GB2312" w:hAnsi="仿宋_GB2312" w:cs="仿宋_GB2312" w:eastAsia="仿宋_GB2312"/>
                <w:sz w:val="24"/>
              </w:rPr>
              <w:t>语音电话提醒，进一步提高工作效率。</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4</w:t>
            </w:r>
            <w:r>
              <w:rPr>
                <w:rFonts w:ascii="仿宋_GB2312" w:hAnsi="仿宋_GB2312" w:cs="仿宋_GB2312" w:eastAsia="仿宋_GB2312"/>
                <w:sz w:val="28"/>
                <w:b/>
              </w:rPr>
              <w:t>）信息技术创新验证</w:t>
            </w:r>
          </w:p>
          <w:p>
            <w:pPr>
              <w:pStyle w:val="null3"/>
              <w:ind w:firstLine="480"/>
              <w:jc w:val="both"/>
            </w:pPr>
            <w:r>
              <w:rPr>
                <w:rFonts w:ascii="仿宋_GB2312" w:hAnsi="仿宋_GB2312" w:cs="仿宋_GB2312" w:eastAsia="仿宋_GB2312"/>
                <w:sz w:val="24"/>
              </w:rPr>
              <w:t>根据四川省政务云信息技术创新环境，及中心数据库集群分配规划开展四川省生态环境厅专项资金系统、专家库系统进行适配改造工作及其他相关系统数据库新创配置工作</w:t>
            </w:r>
            <w:r>
              <w:rPr>
                <w:rFonts w:ascii="仿宋_GB2312" w:hAnsi="仿宋_GB2312" w:cs="仿宋_GB2312" w:eastAsia="仿宋_GB2312"/>
                <w:sz w:val="24"/>
              </w:rPr>
              <w:t>。</w:t>
            </w:r>
            <w:r>
              <w:rPr>
                <w:rFonts w:ascii="仿宋_GB2312" w:hAnsi="仿宋_GB2312" w:cs="仿宋_GB2312" w:eastAsia="仿宋_GB2312"/>
                <w:sz w:val="24"/>
              </w:rPr>
              <w:t>按照厅机关相关处、室进行适度功能开发并确保稳定可用</w:t>
            </w:r>
            <w:r>
              <w:rPr>
                <w:rFonts w:ascii="仿宋_GB2312" w:hAnsi="仿宋_GB2312" w:cs="仿宋_GB2312" w:eastAsia="仿宋_GB2312"/>
                <w:sz w:val="24"/>
              </w:rPr>
              <w:t>，满足省级信创规划要求。</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5</w:t>
            </w:r>
            <w:r>
              <w:rPr>
                <w:rFonts w:ascii="仿宋_GB2312" w:hAnsi="仿宋_GB2312" w:cs="仿宋_GB2312" w:eastAsia="仿宋_GB2312"/>
                <w:sz w:val="28"/>
                <w:b/>
              </w:rPr>
              <w:t>）</w:t>
            </w:r>
            <w:r>
              <w:rPr>
                <w:rFonts w:ascii="仿宋_GB2312" w:hAnsi="仿宋_GB2312" w:cs="仿宋_GB2312" w:eastAsia="仿宋_GB2312"/>
                <w:sz w:val="28"/>
                <w:b/>
              </w:rPr>
              <w:t>4A</w:t>
            </w:r>
            <w:r>
              <w:rPr>
                <w:rFonts w:ascii="仿宋_GB2312" w:hAnsi="仿宋_GB2312" w:cs="仿宋_GB2312" w:eastAsia="仿宋_GB2312"/>
                <w:sz w:val="28"/>
                <w:b/>
              </w:rPr>
              <w:t>用户体系系统密码改造</w:t>
            </w:r>
          </w:p>
          <w:p>
            <w:pPr>
              <w:pStyle w:val="null3"/>
              <w:ind w:firstLine="480"/>
              <w:jc w:val="both"/>
            </w:pPr>
            <w:r>
              <w:rPr>
                <w:rFonts w:ascii="仿宋_GB2312" w:hAnsi="仿宋_GB2312" w:cs="仿宋_GB2312" w:eastAsia="仿宋_GB2312"/>
                <w:sz w:val="24"/>
              </w:rPr>
              <w:t>按照四川省密码局要求，对</w:t>
            </w:r>
            <w:r>
              <w:rPr>
                <w:rFonts w:ascii="仿宋_GB2312" w:hAnsi="仿宋_GB2312" w:cs="仿宋_GB2312" w:eastAsia="仿宋_GB2312"/>
                <w:sz w:val="24"/>
              </w:rPr>
              <w:t>4A</w:t>
            </w:r>
            <w:r>
              <w:rPr>
                <w:rFonts w:ascii="仿宋_GB2312" w:hAnsi="仿宋_GB2312" w:cs="仿宋_GB2312" w:eastAsia="仿宋_GB2312"/>
                <w:sz w:val="24"/>
              </w:rPr>
              <w:t>用户体系系统进行密码改造，确保改造后的</w:t>
            </w:r>
            <w:r>
              <w:rPr>
                <w:rFonts w:ascii="仿宋_GB2312" w:hAnsi="仿宋_GB2312" w:cs="仿宋_GB2312" w:eastAsia="仿宋_GB2312"/>
                <w:sz w:val="24"/>
              </w:rPr>
              <w:t>4A</w:t>
            </w:r>
            <w:r>
              <w:rPr>
                <w:rFonts w:ascii="仿宋_GB2312" w:hAnsi="仿宋_GB2312" w:cs="仿宋_GB2312" w:eastAsia="仿宋_GB2312"/>
                <w:sz w:val="24"/>
              </w:rPr>
              <w:t>用户体系系统符合密评要求。</w:t>
            </w:r>
          </w:p>
          <w:p>
            <w:pPr>
              <w:pStyle w:val="null3"/>
              <w:jc w:val="both"/>
            </w:pPr>
            <w:r>
              <w:rPr>
                <w:rFonts w:ascii="仿宋_GB2312" w:hAnsi="仿宋_GB2312" w:cs="仿宋_GB2312" w:eastAsia="仿宋_GB2312"/>
                <w:sz w:val="28"/>
                <w:b/>
              </w:rPr>
              <w:t>5.2</w:t>
            </w:r>
            <w:r>
              <w:rPr>
                <w:rFonts w:ascii="仿宋_GB2312" w:hAnsi="仿宋_GB2312" w:cs="仿宋_GB2312" w:eastAsia="仿宋_GB2312"/>
                <w:sz w:val="28"/>
                <w:b/>
              </w:rPr>
              <w:t>运维</w:t>
            </w:r>
            <w:r>
              <w:rPr>
                <w:rFonts w:ascii="仿宋_GB2312" w:hAnsi="仿宋_GB2312" w:cs="仿宋_GB2312" w:eastAsia="仿宋_GB2312"/>
                <w:sz w:val="28"/>
                <w:b/>
              </w:rPr>
              <w:t>保障</w:t>
            </w:r>
            <w:r>
              <w:rPr>
                <w:rFonts w:ascii="仿宋_GB2312" w:hAnsi="仿宋_GB2312" w:cs="仿宋_GB2312" w:eastAsia="仿宋_GB2312"/>
                <w:sz w:val="28"/>
                <w:b/>
              </w:rPr>
              <w:t>服务</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）故障响应及排除服务</w:t>
            </w:r>
          </w:p>
          <w:p>
            <w:pPr>
              <w:pStyle w:val="null3"/>
              <w:ind w:firstLine="480"/>
              <w:jc w:val="both"/>
            </w:pPr>
            <w:r>
              <w:rPr>
                <w:rFonts w:ascii="仿宋_GB2312" w:hAnsi="仿宋_GB2312" w:cs="仿宋_GB2312" w:eastAsia="仿宋_GB2312"/>
                <w:sz w:val="24"/>
              </w:rPr>
              <w:t>提供远程和现场的故障诊断和故障处理服务，保证系统出现故障时能够有效并及时的排除相应故障。提供的故障排除服务内容包括软件系统的故障诊断及处理、数据库系统的故障诊断及处理、其它相关系统的故障诊断及处理。服务期内所有系统运行故障事件提供</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小时响应。</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）日常巡检服务</w:t>
            </w:r>
          </w:p>
          <w:p>
            <w:pPr>
              <w:pStyle w:val="null3"/>
              <w:ind w:firstLine="480"/>
              <w:jc w:val="both"/>
            </w:pPr>
            <w:r>
              <w:rPr>
                <w:rFonts w:ascii="仿宋_GB2312" w:hAnsi="仿宋_GB2312" w:cs="仿宋_GB2312" w:eastAsia="仿宋_GB2312"/>
                <w:sz w:val="24"/>
              </w:rPr>
              <w:t>本项目建立一套完善的日常巡检制度，针对操作系统、系统软件、应用系统的运行状况、备份数据等，依四川省环境信息中心要求进行每两周一次或每一周一次的巡检，每次巡检报告在巡检后</w:t>
            </w:r>
            <w:r>
              <w:rPr>
                <w:rFonts w:ascii="仿宋_GB2312" w:hAnsi="仿宋_GB2312" w:cs="仿宋_GB2312" w:eastAsia="仿宋_GB2312"/>
                <w:sz w:val="24"/>
              </w:rPr>
              <w:t>3</w:t>
            </w:r>
            <w:r>
              <w:rPr>
                <w:rFonts w:ascii="仿宋_GB2312" w:hAnsi="仿宋_GB2312" w:cs="仿宋_GB2312" w:eastAsia="仿宋_GB2312"/>
                <w:sz w:val="24"/>
              </w:rPr>
              <w:t>个工作日内提交电子版。巡检内容主要包含：一是服务器系统巡检，检查</w:t>
            </w:r>
            <w:r>
              <w:rPr>
                <w:rFonts w:ascii="仿宋_GB2312" w:hAnsi="仿宋_GB2312" w:cs="仿宋_GB2312" w:eastAsia="仿宋_GB2312"/>
                <w:sz w:val="24"/>
              </w:rPr>
              <w:t>CPU</w:t>
            </w:r>
            <w:r>
              <w:rPr>
                <w:rFonts w:ascii="仿宋_GB2312" w:hAnsi="仿宋_GB2312" w:cs="仿宋_GB2312" w:eastAsia="仿宋_GB2312"/>
                <w:sz w:val="24"/>
              </w:rPr>
              <w:t>利用率、检查系统内存利用率、检查系统盘和数据备份的空间占用、操作系统运行状况检查、数据库启动和运行状况、应用程序系统和运行状况。二是应用系统巡检，检查业务系统各项功能是否运行正常，数据显示是否正常。三是安全巡检，对操作系统、服务器、数据库、账户权限存在的安全隐患项进行巡检，并及时进行整改。四是数据库备份巡检，每周定期对服务器、应用系统的配置备份进行巡检，保证自动备份正常巡检，数据备份完整可用</w:t>
            </w:r>
            <w:r>
              <w:rPr>
                <w:rFonts w:ascii="仿宋_GB2312" w:hAnsi="仿宋_GB2312" w:cs="仿宋_GB2312" w:eastAsia="仿宋_GB2312"/>
                <w:sz w:val="24"/>
              </w:rPr>
              <w:t>，</w:t>
            </w:r>
            <w:r>
              <w:rPr>
                <w:rFonts w:ascii="仿宋_GB2312" w:hAnsi="仿宋_GB2312" w:cs="仿宋_GB2312" w:eastAsia="仿宋_GB2312"/>
                <w:sz w:val="24"/>
              </w:rPr>
              <w:t>相关系统管理员设定的登录密码应符合安全性要求，并在满三个月时进行更换提醒</w:t>
            </w:r>
            <w:r>
              <w:rPr>
                <w:rFonts w:ascii="仿宋_GB2312" w:hAnsi="仿宋_GB2312" w:cs="仿宋_GB2312" w:eastAsia="仿宋_GB2312"/>
                <w:sz w:val="24"/>
              </w:rPr>
              <w:t>。</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3</w:t>
            </w:r>
            <w:r>
              <w:rPr>
                <w:rFonts w:ascii="仿宋_GB2312" w:hAnsi="仿宋_GB2312" w:cs="仿宋_GB2312" w:eastAsia="仿宋_GB2312"/>
                <w:sz w:val="28"/>
                <w:b/>
              </w:rPr>
              <w:t>）工作值守服务台服务</w:t>
            </w:r>
          </w:p>
          <w:p>
            <w:pPr>
              <w:pStyle w:val="null3"/>
              <w:ind w:firstLine="480"/>
              <w:jc w:val="both"/>
            </w:pPr>
            <w:r>
              <w:rPr>
                <w:rFonts w:ascii="仿宋_GB2312" w:hAnsi="仿宋_GB2312" w:cs="仿宋_GB2312" w:eastAsia="仿宋_GB2312"/>
                <w:sz w:val="24"/>
              </w:rPr>
              <w:t>提供由三名一线驻场服务工程师、多名二线技术支持工程师和高级技术专家组成的服务台，进行专业的系统服务管理，提供统一报障电话，统一报障、统一维修接口，用户可以通过统一的报障电话申请服务、查询服务处理进程，监控服务质量。</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4</w:t>
            </w:r>
            <w:r>
              <w:rPr>
                <w:rFonts w:ascii="仿宋_GB2312" w:hAnsi="仿宋_GB2312" w:cs="仿宋_GB2312" w:eastAsia="仿宋_GB2312"/>
                <w:sz w:val="28"/>
                <w:b/>
              </w:rPr>
              <w:t>）运行质量分析服务</w:t>
            </w:r>
          </w:p>
          <w:p>
            <w:pPr>
              <w:pStyle w:val="null3"/>
              <w:ind w:firstLine="480"/>
              <w:jc w:val="both"/>
            </w:pPr>
            <w:r>
              <w:rPr>
                <w:rFonts w:ascii="仿宋_GB2312" w:hAnsi="仿宋_GB2312" w:cs="仿宋_GB2312" w:eastAsia="仿宋_GB2312"/>
                <w:sz w:val="24"/>
              </w:rPr>
              <w:t>结合各系统实际运行情况，每季度开展一次运行质量分析服务，全面收集和分析各平台的各类运行数据，准确定位和查找该平台的运行性能瓶颈，提交运行性能诊断报告，并在报告中提出质量优化提升建议，及时解决可能存在的程序</w:t>
            </w:r>
            <w:r>
              <w:rPr>
                <w:rFonts w:ascii="仿宋_GB2312" w:hAnsi="仿宋_GB2312" w:cs="仿宋_GB2312" w:eastAsia="仿宋_GB2312"/>
                <w:sz w:val="24"/>
              </w:rPr>
              <w:t>BUG</w:t>
            </w:r>
            <w:r>
              <w:rPr>
                <w:rFonts w:ascii="仿宋_GB2312" w:hAnsi="仿宋_GB2312" w:cs="仿宋_GB2312" w:eastAsia="仿宋_GB2312"/>
                <w:sz w:val="24"/>
              </w:rPr>
              <w:t>，并配套提供系统升级补丁，解决使用中存在的技术问题。</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5</w:t>
            </w:r>
            <w:r>
              <w:rPr>
                <w:rFonts w:ascii="仿宋_GB2312" w:hAnsi="仿宋_GB2312" w:cs="仿宋_GB2312" w:eastAsia="仿宋_GB2312"/>
                <w:sz w:val="28"/>
                <w:b/>
              </w:rPr>
              <w:t>）数据备份服务</w:t>
            </w:r>
          </w:p>
          <w:p>
            <w:pPr>
              <w:pStyle w:val="null3"/>
              <w:ind w:firstLine="480"/>
              <w:jc w:val="both"/>
            </w:pPr>
            <w:r>
              <w:rPr>
                <w:rFonts w:ascii="仿宋_GB2312" w:hAnsi="仿宋_GB2312" w:cs="仿宋_GB2312" w:eastAsia="仿宋_GB2312"/>
                <w:sz w:val="24"/>
              </w:rPr>
              <w:t>针对各系统特点制定相应的数据备份策略，明确增量备份、全备份的策略。结合中心的运维管理工作安排，按照服务等级要求提供与信息通信资源相关的各类配置数据、各类操作系统和其他相关软件的数据备份服务。设定备份频率、数据备份方式以及系统备份方案的具体实施细则。在计划制订完毕后，应严格按照程序进行备份，并每周对数据备份情况进行跟踪检查。</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6</w:t>
            </w:r>
            <w:r>
              <w:rPr>
                <w:rFonts w:ascii="仿宋_GB2312" w:hAnsi="仿宋_GB2312" w:cs="仿宋_GB2312" w:eastAsia="仿宋_GB2312"/>
                <w:sz w:val="28"/>
                <w:b/>
              </w:rPr>
              <w:t>）重大事件保障服务</w:t>
            </w:r>
          </w:p>
          <w:p>
            <w:pPr>
              <w:pStyle w:val="null3"/>
              <w:ind w:firstLine="480"/>
              <w:jc w:val="both"/>
            </w:pPr>
            <w:r>
              <w:rPr>
                <w:rFonts w:ascii="仿宋_GB2312" w:hAnsi="仿宋_GB2312" w:cs="仿宋_GB2312" w:eastAsia="仿宋_GB2312"/>
                <w:sz w:val="24"/>
              </w:rPr>
              <w:t>针对国庆、春节及其他重大事件，制定专项保障方案，并按照重大事件保障方案落实专人实施保障措施和维护工作，确保平台能够在重大事件期间提供稳定支撑。</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7</w:t>
            </w:r>
            <w:r>
              <w:rPr>
                <w:rFonts w:ascii="仿宋_GB2312" w:hAnsi="仿宋_GB2312" w:cs="仿宋_GB2312" w:eastAsia="仿宋_GB2312"/>
                <w:sz w:val="28"/>
                <w:b/>
              </w:rPr>
              <w:t>）应急处置及演练</w:t>
            </w:r>
          </w:p>
          <w:p>
            <w:pPr>
              <w:pStyle w:val="null3"/>
              <w:ind w:firstLine="480"/>
              <w:jc w:val="both"/>
            </w:pPr>
            <w:r>
              <w:rPr>
                <w:rFonts w:ascii="仿宋_GB2312" w:hAnsi="仿宋_GB2312" w:cs="仿宋_GB2312" w:eastAsia="仿宋_GB2312"/>
                <w:sz w:val="24"/>
              </w:rPr>
              <w:t>为保障各系统持续稳定运行、有效识别平台风险、降低平台故障带来的影响，本项目结合以往的平台管理经验并总结往年的问题。针对性提供平台应急预案的编制和优化服务。每半年组织一次平台的应急处理预案演练工作，并提供演练后应急预案的进一步优化完善服务。当出现突发事件时，应立即启动应急预案，保护数据信息，下线故障应用，及时向中心报送故障信息。驻场工程师应着手恢复业务，并协调二线技术支持工程师及相关应用承建方提供技术支持，平台运行恢复后，应排查故障的根本原因，并及时提交故障处理报告。故障处理报告需写入当月运维月报中。</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8</w:t>
            </w:r>
            <w:r>
              <w:rPr>
                <w:rFonts w:ascii="仿宋_GB2312" w:hAnsi="仿宋_GB2312" w:cs="仿宋_GB2312" w:eastAsia="仿宋_GB2312"/>
                <w:sz w:val="28"/>
                <w:b/>
              </w:rPr>
              <w:t>）配置管理服务</w:t>
            </w:r>
          </w:p>
          <w:p>
            <w:pPr>
              <w:pStyle w:val="null3"/>
              <w:ind w:firstLine="480"/>
              <w:jc w:val="both"/>
            </w:pPr>
            <w:r>
              <w:rPr>
                <w:rFonts w:ascii="仿宋_GB2312" w:hAnsi="仿宋_GB2312" w:cs="仿宋_GB2312" w:eastAsia="仿宋_GB2312"/>
                <w:sz w:val="24"/>
              </w:rPr>
              <w:t>建立各系统的配置管理数据库，方便运维人员对相关信息化设备资源进行集中和统一的管理，全面、准确地记录涉及相关资源整个生命周期的所有信息（硬件配置、软件参数、技术文档、维护和变更信息等），提供年度总结报告。并根据相关资源的实际使用情况建立不同资源之间以及各类数据项之间的关联关系，使得运维管理更清晰，辅助平台能够更稳定的持续运行。</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9</w:t>
            </w:r>
            <w:r>
              <w:rPr>
                <w:rFonts w:ascii="仿宋_GB2312" w:hAnsi="仿宋_GB2312" w:cs="仿宋_GB2312" w:eastAsia="仿宋_GB2312"/>
                <w:sz w:val="28"/>
                <w:b/>
              </w:rPr>
              <w:t>）信息安全防护工作</w:t>
            </w:r>
          </w:p>
          <w:p>
            <w:pPr>
              <w:pStyle w:val="null3"/>
              <w:ind w:firstLine="480"/>
              <w:jc w:val="both"/>
            </w:pPr>
            <w:r>
              <w:rPr>
                <w:rFonts w:ascii="仿宋_GB2312" w:hAnsi="仿宋_GB2312" w:cs="仿宋_GB2312" w:eastAsia="仿宋_GB2312"/>
                <w:sz w:val="24"/>
              </w:rPr>
              <w:t>对系统、设备按中心要求进行日常安全巡查，定期对服务器设备及软件功能的管理员账户密码进行更换，配合信息中心开展信息安全等级保护测评、密码测评、每月安全漏洞扫描等工作，并根据测评结果，按时整改平台高、中、低危漏洞。漏洞整改记录要写入运维周报、月报中。</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10</w:t>
            </w:r>
            <w:r>
              <w:rPr>
                <w:rFonts w:ascii="仿宋_GB2312" w:hAnsi="仿宋_GB2312" w:cs="仿宋_GB2312" w:eastAsia="仿宋_GB2312"/>
                <w:sz w:val="28"/>
                <w:b/>
              </w:rPr>
              <w:t>）第三方业务系统</w:t>
            </w:r>
            <w:r>
              <w:rPr>
                <w:rFonts w:ascii="仿宋_GB2312" w:hAnsi="仿宋_GB2312" w:cs="仿宋_GB2312" w:eastAsia="仿宋_GB2312"/>
                <w:sz w:val="28"/>
                <w:b/>
              </w:rPr>
              <w:t>4A</w:t>
            </w:r>
            <w:r>
              <w:rPr>
                <w:rFonts w:ascii="仿宋_GB2312" w:hAnsi="仿宋_GB2312" w:cs="仿宋_GB2312" w:eastAsia="仿宋_GB2312"/>
                <w:sz w:val="28"/>
                <w:b/>
              </w:rPr>
              <w:t>对接</w:t>
            </w:r>
          </w:p>
          <w:p>
            <w:pPr>
              <w:pStyle w:val="null3"/>
              <w:ind w:firstLine="480"/>
              <w:jc w:val="both"/>
            </w:pPr>
            <w:r>
              <w:rPr>
                <w:rFonts w:ascii="仿宋_GB2312" w:hAnsi="仿宋_GB2312" w:cs="仿宋_GB2312" w:eastAsia="仿宋_GB2312"/>
                <w:sz w:val="24"/>
              </w:rPr>
              <w:t>配合省、市两级第三方业务系统，开展单点登录、用户同步、待办消息等对接工作。为第三方业务系统开发人员提供业务应用对接指导，熟悉对接流程及网络策略申请，对</w:t>
            </w:r>
            <w:r>
              <w:rPr>
                <w:rFonts w:ascii="仿宋_GB2312" w:hAnsi="仿宋_GB2312" w:cs="仿宋_GB2312" w:eastAsia="仿宋_GB2312"/>
                <w:sz w:val="24"/>
              </w:rPr>
              <w:t>21</w:t>
            </w:r>
            <w:r>
              <w:rPr>
                <w:rFonts w:ascii="仿宋_GB2312" w:hAnsi="仿宋_GB2312" w:cs="仿宋_GB2312" w:eastAsia="仿宋_GB2312"/>
                <w:sz w:val="24"/>
              </w:rPr>
              <w:t>个市州</w:t>
            </w:r>
            <w:r>
              <w:rPr>
                <w:rFonts w:ascii="仿宋_GB2312" w:hAnsi="仿宋_GB2312" w:cs="仿宋_GB2312" w:eastAsia="仿宋_GB2312"/>
                <w:sz w:val="24"/>
              </w:rPr>
              <w:t>4A</w:t>
            </w:r>
            <w:r>
              <w:rPr>
                <w:rFonts w:ascii="仿宋_GB2312" w:hAnsi="仿宋_GB2312" w:cs="仿宋_GB2312" w:eastAsia="仿宋_GB2312"/>
                <w:sz w:val="24"/>
              </w:rPr>
              <w:t>操作管理员进行培训，直至熟练掌握技术细节。对单点登陆、待办同步、组织用户增删改以及统一授权进行逐一验证，并配合其开展权限初始化。因日常优化、故障处理或其它问题导致接口信息发生变化时，需要及时对对接相关文档进行更新，便于指导各级业务信息系统对接调整。</w:t>
            </w:r>
          </w:p>
          <w:p>
            <w:pPr>
              <w:pStyle w:val="null3"/>
              <w:ind w:firstLine="481"/>
              <w:jc w:val="both"/>
            </w:pPr>
            <w:r>
              <w:rPr>
                <w:rFonts w:ascii="仿宋_GB2312" w:hAnsi="仿宋_GB2312" w:cs="仿宋_GB2312" w:eastAsia="仿宋_GB2312"/>
                <w:sz w:val="24"/>
                <w:b/>
              </w:rPr>
              <w:t>★</w:t>
            </w:r>
            <w:r>
              <w:rPr>
                <w:rFonts w:ascii="仿宋_GB2312" w:hAnsi="仿宋_GB2312" w:cs="仿宋_GB2312" w:eastAsia="仿宋_GB2312"/>
                <w:sz w:val="24"/>
                <w:b/>
              </w:rPr>
              <w:t>6</w:t>
            </w:r>
            <w:r>
              <w:rPr>
                <w:rFonts w:ascii="仿宋_GB2312" w:hAnsi="仿宋_GB2312" w:cs="仿宋_GB2312" w:eastAsia="仿宋_GB2312"/>
                <w:sz w:val="24"/>
                <w:b/>
              </w:rPr>
              <w:t>运维团队要求（实质性要求</w:t>
            </w:r>
            <w:r>
              <w:rPr>
                <w:rFonts w:ascii="仿宋_GB2312" w:hAnsi="仿宋_GB2312" w:cs="仿宋_GB2312" w:eastAsia="仿宋_GB2312"/>
                <w:sz w:val="24"/>
                <w:b/>
              </w:rPr>
              <w:t>，需</w:t>
            </w:r>
            <w:r>
              <w:rPr>
                <w:rFonts w:ascii="仿宋_GB2312" w:hAnsi="仿宋_GB2312" w:cs="仿宋_GB2312" w:eastAsia="仿宋_GB2312"/>
                <w:sz w:val="24"/>
                <w:b/>
              </w:rPr>
              <w:t>单独</w:t>
            </w:r>
            <w:r>
              <w:rPr>
                <w:rFonts w:ascii="仿宋_GB2312" w:hAnsi="仿宋_GB2312" w:cs="仿宋_GB2312" w:eastAsia="仿宋_GB2312"/>
                <w:sz w:val="24"/>
                <w:b/>
              </w:rPr>
              <w:t>提供承诺函</w:t>
            </w:r>
            <w:r>
              <w:rPr>
                <w:rFonts w:ascii="仿宋_GB2312" w:hAnsi="仿宋_GB2312" w:cs="仿宋_GB2312" w:eastAsia="仿宋_GB2312"/>
                <w:sz w:val="24"/>
                <w:b/>
              </w:rPr>
              <w:t>）</w:t>
            </w:r>
          </w:p>
          <w:p>
            <w:pPr>
              <w:pStyle w:val="null3"/>
              <w:ind w:firstLine="481"/>
              <w:jc w:val="both"/>
            </w:pPr>
            <w:r>
              <w:rPr>
                <w:rFonts w:ascii="仿宋_GB2312" w:hAnsi="仿宋_GB2312" w:cs="仿宋_GB2312" w:eastAsia="仿宋_GB2312"/>
                <w:sz w:val="24"/>
                <w:b/>
              </w:rPr>
              <w:t>本项目运维团队中包含</w:t>
            </w:r>
            <w:r>
              <w:rPr>
                <w:rFonts w:ascii="仿宋_GB2312" w:hAnsi="仿宋_GB2312" w:cs="仿宋_GB2312" w:eastAsia="仿宋_GB2312"/>
                <w:sz w:val="24"/>
                <w:b/>
              </w:rPr>
              <w:t>1</w:t>
            </w:r>
            <w:r>
              <w:rPr>
                <w:rFonts w:ascii="仿宋_GB2312" w:hAnsi="仿宋_GB2312" w:cs="仿宋_GB2312" w:eastAsia="仿宋_GB2312"/>
                <w:sz w:val="24"/>
                <w:b/>
              </w:rPr>
              <w:t>名项目经理、</w:t>
            </w:r>
            <w:r>
              <w:rPr>
                <w:rFonts w:ascii="仿宋_GB2312" w:hAnsi="仿宋_GB2312" w:cs="仿宋_GB2312" w:eastAsia="仿宋_GB2312"/>
                <w:sz w:val="24"/>
                <w:b/>
              </w:rPr>
              <w:t>3</w:t>
            </w:r>
            <w:r>
              <w:rPr>
                <w:rFonts w:ascii="仿宋_GB2312" w:hAnsi="仿宋_GB2312" w:cs="仿宋_GB2312" w:eastAsia="仿宋_GB2312"/>
                <w:sz w:val="24"/>
                <w:b/>
              </w:rPr>
              <w:t>名驻场服务工程师、至少</w:t>
            </w:r>
            <w:r>
              <w:rPr>
                <w:rFonts w:ascii="仿宋_GB2312" w:hAnsi="仿宋_GB2312" w:cs="仿宋_GB2312" w:eastAsia="仿宋_GB2312"/>
                <w:sz w:val="24"/>
                <w:b/>
              </w:rPr>
              <w:t>3</w:t>
            </w:r>
            <w:r>
              <w:rPr>
                <w:rFonts w:ascii="仿宋_GB2312" w:hAnsi="仿宋_GB2312" w:cs="仿宋_GB2312" w:eastAsia="仿宋_GB2312"/>
                <w:sz w:val="24"/>
                <w:b/>
              </w:rPr>
              <w:t>名二线技术支持工程师和至少</w:t>
            </w:r>
            <w:r>
              <w:rPr>
                <w:rFonts w:ascii="仿宋_GB2312" w:hAnsi="仿宋_GB2312" w:cs="仿宋_GB2312" w:eastAsia="仿宋_GB2312"/>
                <w:sz w:val="24"/>
                <w:b/>
              </w:rPr>
              <w:t>1</w:t>
            </w:r>
            <w:r>
              <w:rPr>
                <w:rFonts w:ascii="仿宋_GB2312" w:hAnsi="仿宋_GB2312" w:cs="仿宋_GB2312" w:eastAsia="仿宋_GB2312"/>
                <w:sz w:val="24"/>
                <w:b/>
              </w:rPr>
              <w:t>名高级技术专家</w:t>
            </w:r>
            <w:r>
              <w:rPr>
                <w:rFonts w:ascii="仿宋_GB2312" w:hAnsi="仿宋_GB2312" w:cs="仿宋_GB2312" w:eastAsia="仿宋_GB2312"/>
                <w:sz w:val="24"/>
                <w:b/>
              </w:rPr>
              <w:t>；</w:t>
            </w:r>
            <w:r>
              <w:rPr>
                <w:rFonts w:ascii="仿宋_GB2312" w:hAnsi="仿宋_GB2312" w:cs="仿宋_GB2312" w:eastAsia="仿宋_GB2312"/>
                <w:sz w:val="24"/>
                <w:b/>
              </w:rPr>
              <w:t>中标方具备完整成熟的用户体系（</w:t>
            </w:r>
            <w:r>
              <w:rPr>
                <w:rFonts w:ascii="仿宋_GB2312" w:hAnsi="仿宋_GB2312" w:cs="仿宋_GB2312" w:eastAsia="仿宋_GB2312"/>
                <w:sz w:val="24"/>
                <w:b/>
              </w:rPr>
              <w:t>4A</w:t>
            </w:r>
            <w:r>
              <w:rPr>
                <w:rFonts w:ascii="仿宋_GB2312" w:hAnsi="仿宋_GB2312" w:cs="仿宋_GB2312" w:eastAsia="仿宋_GB2312"/>
                <w:sz w:val="24"/>
                <w:b/>
              </w:rPr>
              <w:t>）系统</w:t>
            </w:r>
            <w:r>
              <w:rPr>
                <w:rFonts w:ascii="仿宋_GB2312" w:hAnsi="仿宋_GB2312" w:cs="仿宋_GB2312" w:eastAsia="仿宋_GB2312"/>
                <w:sz w:val="24"/>
                <w:b/>
              </w:rPr>
              <w:t>开发应用能力</w:t>
            </w:r>
            <w:r>
              <w:rPr>
                <w:rFonts w:ascii="仿宋_GB2312" w:hAnsi="仿宋_GB2312" w:cs="仿宋_GB2312" w:eastAsia="仿宋_GB2312"/>
                <w:sz w:val="24"/>
                <w:b/>
              </w:rPr>
              <w:t>，签订合同后</w:t>
            </w:r>
            <w:r>
              <w:rPr>
                <w:rFonts w:ascii="仿宋_GB2312" w:hAnsi="仿宋_GB2312" w:cs="仿宋_GB2312" w:eastAsia="仿宋_GB2312"/>
                <w:sz w:val="24"/>
                <w:b/>
              </w:rPr>
              <w:t>20</w:t>
            </w:r>
            <w:r>
              <w:rPr>
                <w:rFonts w:ascii="仿宋_GB2312" w:hAnsi="仿宋_GB2312" w:cs="仿宋_GB2312" w:eastAsia="仿宋_GB2312"/>
                <w:sz w:val="24"/>
                <w:b/>
              </w:rPr>
              <w:t>个工作日之内完成</w:t>
            </w:r>
            <w:r>
              <w:rPr>
                <w:rFonts w:ascii="仿宋_GB2312" w:hAnsi="仿宋_GB2312" w:cs="仿宋_GB2312" w:eastAsia="仿宋_GB2312"/>
                <w:sz w:val="24"/>
                <w:b/>
              </w:rPr>
              <w:t>生态环境厅</w:t>
            </w:r>
            <w:r>
              <w:rPr>
                <w:rFonts w:ascii="仿宋_GB2312" w:hAnsi="仿宋_GB2312" w:cs="仿宋_GB2312" w:eastAsia="仿宋_GB2312"/>
                <w:sz w:val="24"/>
                <w:b/>
              </w:rPr>
              <w:t>4A</w:t>
            </w:r>
            <w:r>
              <w:rPr>
                <w:rFonts w:ascii="仿宋_GB2312" w:hAnsi="仿宋_GB2312" w:cs="仿宋_GB2312" w:eastAsia="仿宋_GB2312"/>
                <w:sz w:val="24"/>
                <w:b/>
              </w:rPr>
              <w:t>工作</w:t>
            </w:r>
            <w:r>
              <w:rPr>
                <w:rFonts w:ascii="仿宋_GB2312" w:hAnsi="仿宋_GB2312" w:cs="仿宋_GB2312" w:eastAsia="仿宋_GB2312"/>
                <w:sz w:val="24"/>
                <w:b/>
              </w:rPr>
              <w:t>交接</w:t>
            </w:r>
            <w:r>
              <w:rPr>
                <w:rFonts w:ascii="仿宋_GB2312" w:hAnsi="仿宋_GB2312" w:cs="仿宋_GB2312" w:eastAsia="仿宋_GB2312"/>
                <w:sz w:val="24"/>
                <w:b/>
              </w:rPr>
              <w:t>，</w:t>
            </w:r>
            <w:r>
              <w:rPr>
                <w:rFonts w:ascii="仿宋_GB2312" w:hAnsi="仿宋_GB2312" w:cs="仿宋_GB2312" w:eastAsia="仿宋_GB2312"/>
                <w:sz w:val="24"/>
                <w:b/>
              </w:rPr>
              <w:t>并确保正常运行</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驻场服务工程师应熟悉本项目所涉系统的基础运维工作内容，具备扎实的基础网络、软件开发等专业知识，拥有良好的专业培训背景和较强的学习能力，能够快速学习各种应用新技术，提供相关技术支持服务。</w:t>
            </w:r>
          </w:p>
          <w:p>
            <w:pPr>
              <w:pStyle w:val="null3"/>
              <w:ind w:firstLine="480"/>
              <w:jc w:val="both"/>
            </w:pPr>
            <w:r>
              <w:rPr>
                <w:rFonts w:ascii="仿宋_GB2312" w:hAnsi="仿宋_GB2312" w:cs="仿宋_GB2312" w:eastAsia="仿宋_GB2312"/>
                <w:sz w:val="24"/>
              </w:rPr>
              <w:t>二线技术支持工程师应具备丰富的运维经验，具备扎实的专业知识并对生态环境业务有一定了解，拥有良好的专业培训背景和较强的学习能力，能够快速学习各种应用新技术，解决一线驻场工程师反馈的各类普通技术问题。</w:t>
            </w:r>
          </w:p>
          <w:p>
            <w:pPr>
              <w:pStyle w:val="null3"/>
              <w:ind w:firstLine="480"/>
              <w:jc w:val="both"/>
            </w:pPr>
            <w:r>
              <w:rPr>
                <w:rFonts w:ascii="仿宋_GB2312" w:hAnsi="仿宋_GB2312" w:cs="仿宋_GB2312" w:eastAsia="仿宋_GB2312"/>
                <w:sz w:val="24"/>
              </w:rPr>
              <w:t>高级技术专家应具备过硬的技术能力，充分了解生态环境业务，具备丰富的信息化相关资质及项目实施经验，能够指导一线驻场服务工程师和二线技术支持工程师开展工作，解决服务期间出现的各类重大技术问题。</w:t>
            </w:r>
          </w:p>
          <w:p>
            <w:pPr>
              <w:pStyle w:val="null3"/>
              <w:ind w:firstLine="480"/>
              <w:jc w:val="both"/>
            </w:pPr>
            <w:r>
              <w:rPr>
                <w:rFonts w:ascii="仿宋_GB2312" w:hAnsi="仿宋_GB2312" w:cs="仿宋_GB2312" w:eastAsia="仿宋_GB2312"/>
                <w:sz w:val="24"/>
              </w:rPr>
              <w:t>在日常运行维护服务过程中，遇有重大复杂故障、重大业务调整、业务割接以及厅内重要工作保障时，应当保证至少</w:t>
            </w:r>
            <w:r>
              <w:rPr>
                <w:rFonts w:ascii="仿宋_GB2312" w:hAnsi="仿宋_GB2312" w:cs="仿宋_GB2312" w:eastAsia="仿宋_GB2312"/>
                <w:sz w:val="24"/>
              </w:rPr>
              <w:t>1</w:t>
            </w:r>
            <w:r>
              <w:rPr>
                <w:rFonts w:ascii="仿宋_GB2312" w:hAnsi="仿宋_GB2312" w:cs="仿宋_GB2312" w:eastAsia="仿宋_GB2312"/>
                <w:sz w:val="24"/>
              </w:rPr>
              <w:t>名二线技术支持工程师在</w:t>
            </w:r>
            <w:r>
              <w:rPr>
                <w:rFonts w:ascii="仿宋_GB2312" w:hAnsi="仿宋_GB2312" w:cs="仿宋_GB2312" w:eastAsia="仿宋_GB2312"/>
                <w:sz w:val="24"/>
                <w:color w:val="0000FF"/>
                <w:u w:val="single"/>
              </w:rPr>
              <w:t>2</w:t>
            </w:r>
            <w:r>
              <w:rPr>
                <w:rFonts w:ascii="仿宋_GB2312" w:hAnsi="仿宋_GB2312" w:cs="仿宋_GB2312" w:eastAsia="仿宋_GB2312"/>
                <w:sz w:val="24"/>
                <w:color w:val="0000FF"/>
                <w:u w:val="single"/>
              </w:rPr>
              <w:t>小时</w:t>
            </w:r>
            <w:r>
              <w:rPr>
                <w:rFonts w:ascii="仿宋_GB2312" w:hAnsi="仿宋_GB2312" w:cs="仿宋_GB2312" w:eastAsia="仿宋_GB2312"/>
                <w:sz w:val="24"/>
              </w:rPr>
              <w:t>内能够到达现场。</w:t>
            </w:r>
          </w:p>
          <w:p>
            <w:pPr>
              <w:pStyle w:val="null3"/>
              <w:ind w:firstLine="481"/>
              <w:jc w:val="both"/>
            </w:pPr>
            <w:r>
              <w:rPr>
                <w:rFonts w:ascii="仿宋_GB2312" w:hAnsi="仿宋_GB2312" w:cs="仿宋_GB2312" w:eastAsia="仿宋_GB2312"/>
                <w:sz w:val="24"/>
                <w:b/>
              </w:rPr>
              <w:t>★</w:t>
            </w:r>
            <w:r>
              <w:rPr>
                <w:rFonts w:ascii="仿宋_GB2312" w:hAnsi="仿宋_GB2312" w:cs="仿宋_GB2312" w:eastAsia="仿宋_GB2312"/>
                <w:sz w:val="24"/>
                <w:b/>
              </w:rPr>
              <w:t>7</w:t>
            </w:r>
            <w:r>
              <w:rPr>
                <w:rFonts w:ascii="仿宋_GB2312" w:hAnsi="仿宋_GB2312" w:cs="仿宋_GB2312" w:eastAsia="仿宋_GB2312"/>
                <w:sz w:val="24"/>
                <w:b/>
              </w:rPr>
              <w:t>运维质量考核办法（实质性要求</w:t>
            </w:r>
            <w:r>
              <w:rPr>
                <w:rFonts w:ascii="仿宋_GB2312" w:hAnsi="仿宋_GB2312" w:cs="仿宋_GB2312" w:eastAsia="仿宋_GB2312"/>
                <w:sz w:val="24"/>
                <w:b/>
              </w:rPr>
              <w:t>，需</w:t>
            </w:r>
            <w:r>
              <w:rPr>
                <w:rFonts w:ascii="仿宋_GB2312" w:hAnsi="仿宋_GB2312" w:cs="仿宋_GB2312" w:eastAsia="仿宋_GB2312"/>
                <w:sz w:val="24"/>
                <w:b/>
              </w:rPr>
              <w:t>单独</w:t>
            </w:r>
            <w:r>
              <w:rPr>
                <w:rFonts w:ascii="仿宋_GB2312" w:hAnsi="仿宋_GB2312" w:cs="仿宋_GB2312" w:eastAsia="仿宋_GB2312"/>
                <w:sz w:val="24"/>
                <w:b/>
              </w:rPr>
              <w:t>提供承诺函</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运维工作正式开始后，进入连续服务考核期。系统应满足用户的要求，稳定、可靠、实用。提供</w:t>
            </w:r>
            <w:r>
              <w:rPr>
                <w:rFonts w:ascii="仿宋_GB2312" w:hAnsi="仿宋_GB2312" w:cs="仿宋_GB2312" w:eastAsia="仿宋_GB2312"/>
                <w:sz w:val="24"/>
              </w:rPr>
              <w:t>7×24</w:t>
            </w:r>
            <w:r>
              <w:rPr>
                <w:rFonts w:ascii="仿宋_GB2312" w:hAnsi="仿宋_GB2312" w:cs="仿宋_GB2312" w:eastAsia="仿宋_GB2312"/>
                <w:sz w:val="24"/>
              </w:rPr>
              <w:t>小时的连续运行，年故障时间小于</w:t>
            </w:r>
            <w:r>
              <w:rPr>
                <w:rFonts w:ascii="仿宋_GB2312" w:hAnsi="仿宋_GB2312" w:cs="仿宋_GB2312" w:eastAsia="仿宋_GB2312"/>
                <w:sz w:val="24"/>
              </w:rPr>
              <w:t>24</w:t>
            </w:r>
            <w:r>
              <w:rPr>
                <w:rFonts w:ascii="仿宋_GB2312" w:hAnsi="仿宋_GB2312" w:cs="仿宋_GB2312" w:eastAsia="仿宋_GB2312"/>
                <w:sz w:val="24"/>
              </w:rPr>
              <w:t>小时，平均故障修复时间小于</w:t>
            </w:r>
            <w:r>
              <w:rPr>
                <w:rFonts w:ascii="仿宋_GB2312" w:hAnsi="仿宋_GB2312" w:cs="仿宋_GB2312" w:eastAsia="仿宋_GB2312"/>
                <w:sz w:val="24"/>
              </w:rPr>
              <w:t>1</w:t>
            </w:r>
            <w:r>
              <w:rPr>
                <w:rFonts w:ascii="仿宋_GB2312" w:hAnsi="仿宋_GB2312" w:cs="仿宋_GB2312" w:eastAsia="仿宋_GB2312"/>
                <w:sz w:val="24"/>
              </w:rPr>
              <w:t>小时。</w:t>
            </w:r>
          </w:p>
          <w:p>
            <w:pPr>
              <w:pStyle w:val="null3"/>
              <w:ind w:firstLine="481"/>
              <w:jc w:val="both"/>
            </w:pPr>
            <w:r>
              <w:rPr>
                <w:rFonts w:ascii="仿宋_GB2312" w:hAnsi="仿宋_GB2312" w:cs="仿宋_GB2312" w:eastAsia="仿宋_GB2312"/>
                <w:sz w:val="24"/>
                <w:b/>
              </w:rPr>
              <w:t>7.1</w:t>
            </w:r>
            <w:r>
              <w:rPr>
                <w:rFonts w:ascii="仿宋_GB2312" w:hAnsi="仿宋_GB2312" w:cs="仿宋_GB2312" w:eastAsia="仿宋_GB2312"/>
                <w:sz w:val="24"/>
                <w:b/>
              </w:rPr>
              <w:t>考核规则</w:t>
            </w:r>
          </w:p>
          <w:p>
            <w:pPr>
              <w:pStyle w:val="null3"/>
              <w:ind w:firstLine="480"/>
              <w:jc w:val="both"/>
            </w:pPr>
            <w:r>
              <w:rPr>
                <w:rFonts w:ascii="仿宋_GB2312" w:hAnsi="仿宋_GB2312" w:cs="仿宋_GB2312" w:eastAsia="仿宋_GB2312"/>
                <w:sz w:val="24"/>
              </w:rPr>
              <w:t>考核分季度考核和最终考核，最终考核得分计算方式为：季度考核得分平均值</w:t>
            </w:r>
            <w:r>
              <w:rPr>
                <w:rFonts w:ascii="仿宋_GB2312" w:hAnsi="仿宋_GB2312" w:cs="仿宋_GB2312" w:eastAsia="仿宋_GB2312"/>
                <w:sz w:val="24"/>
              </w:rPr>
              <w:t>*40%+</w:t>
            </w:r>
            <w:r>
              <w:rPr>
                <w:rFonts w:ascii="仿宋_GB2312" w:hAnsi="仿宋_GB2312" w:cs="仿宋_GB2312" w:eastAsia="仿宋_GB2312"/>
                <w:sz w:val="24"/>
              </w:rPr>
              <w:t>最终考核得分</w:t>
            </w:r>
            <w:r>
              <w:rPr>
                <w:rFonts w:ascii="仿宋_GB2312" w:hAnsi="仿宋_GB2312" w:cs="仿宋_GB2312" w:eastAsia="仿宋_GB2312"/>
                <w:sz w:val="24"/>
              </w:rPr>
              <w:t>*60%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考评分值达到</w:t>
            </w:r>
            <w:r>
              <w:rPr>
                <w:rFonts w:ascii="仿宋_GB2312" w:hAnsi="仿宋_GB2312" w:cs="仿宋_GB2312" w:eastAsia="仿宋_GB2312"/>
                <w:sz w:val="24"/>
              </w:rPr>
              <w:t>85</w:t>
            </w:r>
            <w:r>
              <w:rPr>
                <w:rFonts w:ascii="仿宋_GB2312" w:hAnsi="仿宋_GB2312" w:cs="仿宋_GB2312" w:eastAsia="仿宋_GB2312"/>
                <w:sz w:val="24"/>
              </w:rPr>
              <w:t>分及以上，采购方即可按照最终验收时间向中标方无息退还履约保函。</w:t>
            </w:r>
          </w:p>
          <w:p>
            <w:pPr>
              <w:pStyle w:val="null3"/>
              <w:ind w:firstLine="480"/>
              <w:jc w:val="both"/>
            </w:pPr>
            <w:r>
              <w:rPr>
                <w:rFonts w:ascii="仿宋_GB2312" w:hAnsi="仿宋_GB2312" w:cs="仿宋_GB2312" w:eastAsia="仿宋_GB2312"/>
                <w:sz w:val="24"/>
              </w:rPr>
              <w:t>若考评分值为</w:t>
            </w:r>
            <w:r>
              <w:rPr>
                <w:rFonts w:ascii="仿宋_GB2312" w:hAnsi="仿宋_GB2312" w:cs="仿宋_GB2312" w:eastAsia="仿宋_GB2312"/>
                <w:sz w:val="24"/>
              </w:rPr>
              <w:t>65</w:t>
            </w:r>
            <w:r>
              <w:rPr>
                <w:rFonts w:ascii="仿宋_GB2312" w:hAnsi="仿宋_GB2312" w:cs="仿宋_GB2312" w:eastAsia="仿宋_GB2312"/>
                <w:sz w:val="24"/>
              </w:rPr>
              <w:t>分及以上、</w:t>
            </w:r>
            <w:r>
              <w:rPr>
                <w:rFonts w:ascii="仿宋_GB2312" w:hAnsi="仿宋_GB2312" w:cs="仿宋_GB2312" w:eastAsia="仿宋_GB2312"/>
                <w:sz w:val="24"/>
              </w:rPr>
              <w:t>85</w:t>
            </w:r>
            <w:r>
              <w:rPr>
                <w:rFonts w:ascii="仿宋_GB2312" w:hAnsi="仿宋_GB2312" w:cs="仿宋_GB2312" w:eastAsia="仿宋_GB2312"/>
                <w:sz w:val="24"/>
              </w:rPr>
              <w:t>分以下，中标方应对运维绩效考评中反馈出的问题进行及时整改，整改完成后通知采购方重新考评，重新考评分值达到</w:t>
            </w:r>
            <w:r>
              <w:rPr>
                <w:rFonts w:ascii="仿宋_GB2312" w:hAnsi="仿宋_GB2312" w:cs="仿宋_GB2312" w:eastAsia="仿宋_GB2312"/>
                <w:sz w:val="24"/>
              </w:rPr>
              <w:t>85</w:t>
            </w:r>
            <w:r>
              <w:rPr>
                <w:rFonts w:ascii="仿宋_GB2312" w:hAnsi="仿宋_GB2312" w:cs="仿宋_GB2312" w:eastAsia="仿宋_GB2312"/>
                <w:sz w:val="24"/>
              </w:rPr>
              <w:t>分及以上，采购方按照最终验收时间向中标方无息退还履约保函。</w:t>
            </w:r>
          </w:p>
          <w:p>
            <w:pPr>
              <w:pStyle w:val="null3"/>
              <w:ind w:firstLine="480"/>
              <w:jc w:val="both"/>
            </w:pPr>
            <w:r>
              <w:rPr>
                <w:rFonts w:ascii="仿宋_GB2312" w:hAnsi="仿宋_GB2312" w:cs="仿宋_GB2312" w:eastAsia="仿宋_GB2312"/>
                <w:sz w:val="24"/>
              </w:rPr>
              <w:t>考核得分</w:t>
            </w:r>
            <w:r>
              <w:rPr>
                <w:rFonts w:ascii="仿宋_GB2312" w:hAnsi="仿宋_GB2312" w:cs="仿宋_GB2312" w:eastAsia="仿宋_GB2312"/>
                <w:sz w:val="24"/>
              </w:rPr>
              <w:t>65</w:t>
            </w:r>
            <w:r>
              <w:rPr>
                <w:rFonts w:ascii="仿宋_GB2312" w:hAnsi="仿宋_GB2312" w:cs="仿宋_GB2312" w:eastAsia="仿宋_GB2312"/>
                <w:sz w:val="24"/>
              </w:rPr>
              <w:t>分以下的为不合格，连续两个季度考核不合格，采购方发整改通知书，中标方按要求及时整改，整改完成后通知采购方重新考评，若中标方整改后仍不合格，采购方有权终止合同，中标方应保障合同终止后过渡期平台稳定运行和下一步移交工作，不得推诿。若最终考核不合格，中标方应无条件按照采购方要求开展整改，直到重新考评分值达到</w:t>
            </w:r>
            <w:r>
              <w:rPr>
                <w:rFonts w:ascii="仿宋_GB2312" w:hAnsi="仿宋_GB2312" w:cs="仿宋_GB2312" w:eastAsia="仿宋_GB2312"/>
                <w:sz w:val="24"/>
              </w:rPr>
              <w:t>85</w:t>
            </w:r>
            <w:r>
              <w:rPr>
                <w:rFonts w:ascii="仿宋_GB2312" w:hAnsi="仿宋_GB2312" w:cs="仿宋_GB2312" w:eastAsia="仿宋_GB2312"/>
                <w:sz w:val="24"/>
              </w:rPr>
              <w:t>分及以上，采购方按照最终验收时间向中标方无息退还履约保函。</w:t>
            </w:r>
            <w:r>
              <w:rPr>
                <w:rFonts w:ascii="仿宋_GB2312" w:hAnsi="仿宋_GB2312" w:cs="仿宋_GB2312" w:eastAsia="仿宋_GB2312"/>
                <w:sz w:val="24"/>
              </w:rPr>
              <w:t>如在运维期间因中标方原因造成重大故障，出现被省级主管部门通报等情形，每次扣收</w:t>
            </w:r>
            <w:r>
              <w:rPr>
                <w:rFonts w:ascii="仿宋_GB2312" w:hAnsi="仿宋_GB2312" w:cs="仿宋_GB2312" w:eastAsia="仿宋_GB2312"/>
                <w:sz w:val="24"/>
              </w:rPr>
              <w:t>0.5%</w:t>
            </w:r>
            <w:r>
              <w:rPr>
                <w:rFonts w:ascii="仿宋_GB2312" w:hAnsi="仿宋_GB2312" w:cs="仿宋_GB2312" w:eastAsia="仿宋_GB2312"/>
                <w:sz w:val="24"/>
              </w:rPr>
              <w:t>的合同金额。</w:t>
            </w:r>
          </w:p>
          <w:p>
            <w:pPr>
              <w:pStyle w:val="null3"/>
              <w:ind w:firstLine="480"/>
              <w:jc w:val="both"/>
            </w:pPr>
            <w:r>
              <w:rPr>
                <w:rFonts w:ascii="仿宋_GB2312" w:hAnsi="仿宋_GB2312" w:cs="仿宋_GB2312" w:eastAsia="仿宋_GB2312"/>
                <w:sz w:val="24"/>
              </w:rPr>
              <w:t>在项目验收之前，若履约保函到期，中标方应主动续期履约保函，重新向采购方提交。</w:t>
            </w:r>
          </w:p>
          <w:p>
            <w:pPr>
              <w:pStyle w:val="null3"/>
              <w:ind w:firstLine="481"/>
              <w:jc w:val="both"/>
            </w:pPr>
            <w:r>
              <w:rPr>
                <w:rFonts w:ascii="仿宋_GB2312" w:hAnsi="仿宋_GB2312" w:cs="仿宋_GB2312" w:eastAsia="仿宋_GB2312"/>
                <w:sz w:val="24"/>
                <w:b/>
              </w:rPr>
              <w:t>7.2</w:t>
            </w:r>
            <w:r>
              <w:rPr>
                <w:rFonts w:ascii="仿宋_GB2312" w:hAnsi="仿宋_GB2312" w:cs="仿宋_GB2312" w:eastAsia="仿宋_GB2312"/>
                <w:sz w:val="24"/>
                <w:b/>
              </w:rPr>
              <w:t>运维质量考评表</w:t>
            </w:r>
          </w:p>
          <w:tbl>
            <w:tblPr>
              <w:tblBorders>
                <w:top w:val="none" w:color="000000" w:sz="4"/>
                <w:left w:val="none" w:color="000000" w:sz="4"/>
                <w:bottom w:val="none" w:color="000000" w:sz="4"/>
                <w:right w:val="none" w:color="000000" w:sz="4"/>
                <w:insideH w:val="none"/>
                <w:insideV w:val="none"/>
              </w:tblBorders>
            </w:tblPr>
            <w:tblGrid>
              <w:gridCol w:w="427"/>
              <w:gridCol w:w="692"/>
              <w:gridCol w:w="1350"/>
              <w:gridCol w:w="1923"/>
              <w:gridCol w:w="624"/>
              <w:gridCol w:w="581"/>
            </w:tblGrid>
            <w:tr>
              <w:tc>
                <w:tcPr>
                  <w:tcW w:type="dxa" w:w="42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9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考评类别</w:t>
                  </w:r>
                </w:p>
              </w:tc>
              <w:tc>
                <w:tcPr>
                  <w:tcW w:type="dxa" w:w="1350"/>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考评要求</w:t>
                  </w:r>
                </w:p>
              </w:tc>
              <w:tc>
                <w:tcPr>
                  <w:tcW w:type="dxa" w:w="1923"/>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计分标准</w:t>
                  </w:r>
                </w:p>
              </w:tc>
              <w:tc>
                <w:tcPr>
                  <w:tcW w:type="dxa" w:w="6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得分</w:t>
                  </w:r>
                </w:p>
              </w:tc>
              <w:tc>
                <w:tcPr>
                  <w:tcW w:type="dxa" w:w="581"/>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服务响应</w:t>
                  </w:r>
                </w:p>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分</w:t>
                  </w:r>
                  <w:r>
                    <w:rPr>
                      <w:rFonts w:ascii="仿宋_GB2312" w:hAnsi="仿宋_GB2312" w:cs="仿宋_GB2312" w:eastAsia="仿宋_GB2312"/>
                      <w:sz w:val="24"/>
                    </w:rPr>
                    <w:t>)</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w:t>
                  </w:r>
                  <w:r>
                    <w:rPr>
                      <w:rFonts w:ascii="仿宋_GB2312" w:hAnsi="仿宋_GB2312" w:cs="仿宋_GB2312" w:eastAsia="仿宋_GB2312"/>
                      <w:sz w:val="24"/>
                    </w:rPr>
                    <w:t>7*24</w:t>
                  </w:r>
                  <w:r>
                    <w:rPr>
                      <w:rFonts w:ascii="仿宋_GB2312" w:hAnsi="仿宋_GB2312" w:cs="仿宋_GB2312" w:eastAsia="仿宋_GB2312"/>
                      <w:sz w:val="24"/>
                    </w:rPr>
                    <w:t>小时的故障申报热线服务，响应时间为</w:t>
                  </w:r>
                  <w:r>
                    <w:rPr>
                      <w:rFonts w:ascii="仿宋_GB2312" w:hAnsi="仿宋_GB2312" w:cs="仿宋_GB2312" w:eastAsia="仿宋_GB2312"/>
                      <w:sz w:val="24"/>
                    </w:rPr>
                    <w:t>30</w:t>
                  </w:r>
                  <w:r>
                    <w:rPr>
                      <w:rFonts w:ascii="仿宋_GB2312" w:hAnsi="仿宋_GB2312" w:cs="仿宋_GB2312" w:eastAsia="仿宋_GB2312"/>
                      <w:sz w:val="24"/>
                    </w:rPr>
                    <w:t>分钟。</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未及时响应、协调并处置故障，影响系统正常使用的，每次扣</w:t>
                  </w:r>
                  <w:r>
                    <w:rPr>
                      <w:rFonts w:ascii="仿宋_GB2312" w:hAnsi="仿宋_GB2312" w:cs="仿宋_GB2312" w:eastAsia="仿宋_GB2312"/>
                      <w:sz w:val="24"/>
                    </w:rPr>
                    <w:t>2</w:t>
                  </w:r>
                  <w:r>
                    <w:rPr>
                      <w:rFonts w:ascii="仿宋_GB2312" w:hAnsi="仿宋_GB2312" w:cs="仿宋_GB2312" w:eastAsia="仿宋_GB2312"/>
                      <w:sz w:val="24"/>
                    </w:rPr>
                    <w:t>分，扣完为止。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故障处理服务</w:t>
                  </w:r>
                </w:p>
                <w:p>
                  <w:pPr>
                    <w:pStyle w:val="null3"/>
                    <w:jc w:val="center"/>
                  </w:pPr>
                  <w:r>
                    <w:rPr>
                      <w:rFonts w:ascii="仿宋_GB2312" w:hAnsi="仿宋_GB2312" w:cs="仿宋_GB2312" w:eastAsia="仿宋_GB2312"/>
                      <w:sz w:val="24"/>
                    </w:rPr>
                    <w:t>(18</w:t>
                  </w:r>
                  <w:r>
                    <w:rPr>
                      <w:rFonts w:ascii="仿宋_GB2312" w:hAnsi="仿宋_GB2312" w:cs="仿宋_GB2312" w:eastAsia="仿宋_GB2312"/>
                      <w:sz w:val="24"/>
                    </w:rPr>
                    <w:t>分</w:t>
                  </w:r>
                  <w:r>
                    <w:rPr>
                      <w:rFonts w:ascii="仿宋_GB2312" w:hAnsi="仿宋_GB2312" w:cs="仿宋_GB2312" w:eastAsia="仿宋_GB2312"/>
                      <w:sz w:val="24"/>
                    </w:rPr>
                    <w:t>)</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每季度开展运行质量分析并形成运行性能诊断报告，诊断出的问题要给出解决方案和时限，并及时解决。</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未完成运行质量分析工作或质量不高、未提供运行性能诊断报告或未提供问题解决方案、问题解决不及时，每次扣</w:t>
                  </w:r>
                  <w:r>
                    <w:rPr>
                      <w:rFonts w:ascii="仿宋_GB2312" w:hAnsi="仿宋_GB2312" w:cs="仿宋_GB2312" w:eastAsia="仿宋_GB2312"/>
                      <w:sz w:val="24"/>
                    </w:rPr>
                    <w:t>2</w:t>
                  </w:r>
                  <w:r>
                    <w:rPr>
                      <w:rFonts w:ascii="仿宋_GB2312" w:hAnsi="仿宋_GB2312" w:cs="仿宋_GB2312" w:eastAsia="仿宋_GB2312"/>
                      <w:sz w:val="24"/>
                    </w:rPr>
                    <w:t>分，扣完为止。</w:t>
                  </w:r>
                </w:p>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分</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7"/>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系统运行过程中如果发生故障，对故障的恢复时间不超过</w:t>
                  </w:r>
                  <w:r>
                    <w:rPr>
                      <w:rFonts w:ascii="仿宋_GB2312" w:hAnsi="仿宋_GB2312" w:cs="仿宋_GB2312" w:eastAsia="仿宋_GB2312"/>
                      <w:sz w:val="24"/>
                    </w:rPr>
                    <w:t>1</w:t>
                  </w:r>
                  <w:r>
                    <w:rPr>
                      <w:rFonts w:ascii="仿宋_GB2312" w:hAnsi="仿宋_GB2312" w:cs="仿宋_GB2312" w:eastAsia="仿宋_GB2312"/>
                      <w:sz w:val="24"/>
                    </w:rPr>
                    <w:t>小时。</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未在规定时限内解决故障，影响系统正常使用，每次扣</w:t>
                  </w:r>
                  <w:r>
                    <w:rPr>
                      <w:rFonts w:ascii="仿宋_GB2312" w:hAnsi="仿宋_GB2312" w:cs="仿宋_GB2312" w:eastAsia="仿宋_GB2312"/>
                      <w:sz w:val="24"/>
                    </w:rPr>
                    <w:t>2</w:t>
                  </w:r>
                  <w:r>
                    <w:rPr>
                      <w:rFonts w:ascii="仿宋_GB2312" w:hAnsi="仿宋_GB2312" w:cs="仿宋_GB2312" w:eastAsia="仿宋_GB2312"/>
                      <w:sz w:val="24"/>
                    </w:rPr>
                    <w:t>分，扣完为止。</w:t>
                  </w:r>
                </w:p>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分</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7"/>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1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年故障时间应该小于</w:t>
                  </w:r>
                  <w:r>
                    <w:rPr>
                      <w:rFonts w:ascii="仿宋_GB2312" w:hAnsi="仿宋_GB2312" w:cs="仿宋_GB2312" w:eastAsia="仿宋_GB2312"/>
                      <w:sz w:val="24"/>
                    </w:rPr>
                    <w:t>24</w:t>
                  </w:r>
                  <w:r>
                    <w:rPr>
                      <w:rFonts w:ascii="仿宋_GB2312" w:hAnsi="仿宋_GB2312" w:cs="仿宋_GB2312" w:eastAsia="仿宋_GB2312"/>
                      <w:sz w:val="24"/>
                    </w:rPr>
                    <w:t>小时，总故障数应该小于</w:t>
                  </w:r>
                  <w:r>
                    <w:rPr>
                      <w:rFonts w:ascii="仿宋_GB2312" w:hAnsi="仿宋_GB2312" w:cs="仿宋_GB2312" w:eastAsia="仿宋_GB2312"/>
                      <w:sz w:val="24"/>
                    </w:rPr>
                    <w:t>10</w:t>
                  </w:r>
                  <w:r>
                    <w:rPr>
                      <w:rFonts w:ascii="仿宋_GB2312" w:hAnsi="仿宋_GB2312" w:cs="仿宋_GB2312" w:eastAsia="仿宋_GB2312"/>
                      <w:sz w:val="24"/>
                    </w:rPr>
                    <w:t>次。</w:t>
                  </w:r>
                </w:p>
                <w:p>
                  <w:pPr>
                    <w:pStyle w:val="null3"/>
                    <w:jc w:val="center"/>
                  </w:pP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优秀：年故障时间</w:t>
                  </w:r>
                  <w:r>
                    <w:rPr>
                      <w:rFonts w:ascii="仿宋_GB2312" w:hAnsi="仿宋_GB2312" w:cs="仿宋_GB2312" w:eastAsia="仿宋_GB2312"/>
                      <w:sz w:val="24"/>
                    </w:rPr>
                    <w:t>&lt;24</w:t>
                  </w:r>
                  <w:r>
                    <w:rPr>
                      <w:rFonts w:ascii="仿宋_GB2312" w:hAnsi="仿宋_GB2312" w:cs="仿宋_GB2312" w:eastAsia="仿宋_GB2312"/>
                      <w:sz w:val="24"/>
                    </w:rPr>
                    <w:t>小时，总故障数＜</w:t>
                  </w:r>
                  <w:r>
                    <w:rPr>
                      <w:rFonts w:ascii="仿宋_GB2312" w:hAnsi="仿宋_GB2312" w:cs="仿宋_GB2312" w:eastAsia="仿宋_GB2312"/>
                      <w:sz w:val="24"/>
                    </w:rPr>
                    <w:t>10</w:t>
                  </w:r>
                  <w:r>
                    <w:rPr>
                      <w:rFonts w:ascii="仿宋_GB2312" w:hAnsi="仿宋_GB2312" w:cs="仿宋_GB2312" w:eastAsia="仿宋_GB2312"/>
                      <w:sz w:val="24"/>
                    </w:rPr>
                    <w:t>次。</w:t>
                  </w:r>
                </w:p>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分</w:t>
                  </w:r>
                </w:p>
              </w:tc>
              <w:tc>
                <w:tcPr>
                  <w:tcW w:type="dxa" w:w="6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7"/>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一般：</w:t>
                  </w:r>
                  <w:r>
                    <w:rPr>
                      <w:rFonts w:ascii="仿宋_GB2312" w:hAnsi="仿宋_GB2312" w:cs="仿宋_GB2312" w:eastAsia="仿宋_GB2312"/>
                      <w:sz w:val="24"/>
                    </w:rPr>
                    <w:t>24</w:t>
                  </w:r>
                  <w:r>
                    <w:rPr>
                      <w:rFonts w:ascii="仿宋_GB2312" w:hAnsi="仿宋_GB2312" w:cs="仿宋_GB2312" w:eastAsia="仿宋_GB2312"/>
                      <w:sz w:val="24"/>
                    </w:rPr>
                    <w:t>小时</w:t>
                  </w:r>
                  <w:r>
                    <w:rPr>
                      <w:rFonts w:ascii="仿宋_GB2312" w:hAnsi="仿宋_GB2312" w:cs="仿宋_GB2312" w:eastAsia="仿宋_GB2312"/>
                      <w:sz w:val="24"/>
                    </w:rPr>
                    <w:t>&lt;</w:t>
                  </w:r>
                  <w:r>
                    <w:rPr>
                      <w:rFonts w:ascii="仿宋_GB2312" w:hAnsi="仿宋_GB2312" w:cs="仿宋_GB2312" w:eastAsia="仿宋_GB2312"/>
                      <w:sz w:val="24"/>
                    </w:rPr>
                    <w:t>年故障时间</w:t>
                  </w:r>
                  <w:r>
                    <w:rPr>
                      <w:rFonts w:ascii="仿宋_GB2312" w:hAnsi="仿宋_GB2312" w:cs="仿宋_GB2312" w:eastAsia="仿宋_GB2312"/>
                      <w:sz w:val="24"/>
                    </w:rPr>
                    <w:t>&lt;36</w:t>
                  </w:r>
                  <w:r>
                    <w:rPr>
                      <w:rFonts w:ascii="仿宋_GB2312" w:hAnsi="仿宋_GB2312" w:cs="仿宋_GB2312" w:eastAsia="仿宋_GB2312"/>
                      <w:sz w:val="24"/>
                    </w:rPr>
                    <w:t>小时，</w:t>
                  </w:r>
                  <w:r>
                    <w:rPr>
                      <w:rFonts w:ascii="仿宋_GB2312" w:hAnsi="仿宋_GB2312" w:cs="仿宋_GB2312" w:eastAsia="仿宋_GB2312"/>
                      <w:sz w:val="24"/>
                    </w:rPr>
                    <w:t>10</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总故障数</w:t>
                  </w:r>
                  <w:r>
                    <w:rPr>
                      <w:rFonts w:ascii="仿宋_GB2312" w:hAnsi="仿宋_GB2312" w:cs="仿宋_GB2312" w:eastAsia="仿宋_GB2312"/>
                      <w:sz w:val="24"/>
                    </w:rPr>
                    <w:t>≤15</w:t>
                  </w:r>
                  <w:r>
                    <w:rPr>
                      <w:rFonts w:ascii="仿宋_GB2312" w:hAnsi="仿宋_GB2312" w:cs="仿宋_GB2312" w:eastAsia="仿宋_GB2312"/>
                      <w:sz w:val="24"/>
                    </w:rPr>
                    <w:t>次。</w:t>
                  </w:r>
                </w:p>
                <w:p>
                  <w:pPr>
                    <w:pStyle w:val="null3"/>
                    <w:jc w:val="center"/>
                  </w:pPr>
                  <w:r>
                    <w:rPr>
                      <w:rFonts w:ascii="仿宋_GB2312" w:hAnsi="仿宋_GB2312" w:cs="仿宋_GB2312" w:eastAsia="仿宋_GB2312"/>
                      <w:sz w:val="24"/>
                    </w:rPr>
                    <w:t>2-5</w:t>
                  </w:r>
                  <w:r>
                    <w:rPr>
                      <w:rFonts w:ascii="仿宋_GB2312" w:hAnsi="仿宋_GB2312" w:cs="仿宋_GB2312" w:eastAsia="仿宋_GB2312"/>
                      <w:sz w:val="24"/>
                    </w:rPr>
                    <w:t>分</w:t>
                  </w:r>
                </w:p>
              </w:tc>
              <w:tc>
                <w:tcPr>
                  <w:tcW w:type="dxa" w:w="624"/>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r>
            <w:tr>
              <w:tc>
                <w:tcPr>
                  <w:tcW w:type="dxa" w:w="427"/>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较差：</w:t>
                  </w:r>
                  <w:r>
                    <w:rPr>
                      <w:rFonts w:ascii="仿宋_GB2312" w:hAnsi="仿宋_GB2312" w:cs="仿宋_GB2312" w:eastAsia="仿宋_GB2312"/>
                      <w:sz w:val="24"/>
                    </w:rPr>
                    <w:t>36</w:t>
                  </w:r>
                  <w:r>
                    <w:rPr>
                      <w:rFonts w:ascii="仿宋_GB2312" w:hAnsi="仿宋_GB2312" w:cs="仿宋_GB2312" w:eastAsia="仿宋_GB2312"/>
                      <w:sz w:val="24"/>
                    </w:rPr>
                    <w:t>小时</w:t>
                  </w:r>
                  <w:r>
                    <w:rPr>
                      <w:rFonts w:ascii="仿宋_GB2312" w:hAnsi="仿宋_GB2312" w:cs="仿宋_GB2312" w:eastAsia="仿宋_GB2312"/>
                      <w:sz w:val="24"/>
                    </w:rPr>
                    <w:t>&lt;</w:t>
                  </w:r>
                  <w:r>
                    <w:rPr>
                      <w:rFonts w:ascii="仿宋_GB2312" w:hAnsi="仿宋_GB2312" w:cs="仿宋_GB2312" w:eastAsia="仿宋_GB2312"/>
                      <w:sz w:val="24"/>
                    </w:rPr>
                    <w:t>年故障时间，</w:t>
                  </w:r>
                  <w:r>
                    <w:rPr>
                      <w:rFonts w:ascii="仿宋_GB2312" w:hAnsi="仿宋_GB2312" w:cs="仿宋_GB2312" w:eastAsia="仿宋_GB2312"/>
                      <w:sz w:val="24"/>
                    </w:rPr>
                    <w:t>15</w:t>
                  </w:r>
                  <w:r>
                    <w:rPr>
                      <w:rFonts w:ascii="仿宋_GB2312" w:hAnsi="仿宋_GB2312" w:cs="仿宋_GB2312" w:eastAsia="仿宋_GB2312"/>
                      <w:sz w:val="24"/>
                    </w:rPr>
                    <w:t>次</w:t>
                  </w:r>
                  <w:r>
                    <w:rPr>
                      <w:rFonts w:ascii="仿宋_GB2312" w:hAnsi="仿宋_GB2312" w:cs="仿宋_GB2312" w:eastAsia="仿宋_GB2312"/>
                      <w:sz w:val="24"/>
                    </w:rPr>
                    <w:t>&lt;</w:t>
                  </w:r>
                  <w:r>
                    <w:rPr>
                      <w:rFonts w:ascii="仿宋_GB2312" w:hAnsi="仿宋_GB2312" w:cs="仿宋_GB2312" w:eastAsia="仿宋_GB2312"/>
                      <w:sz w:val="24"/>
                    </w:rPr>
                    <w:t>总故障数。</w:t>
                  </w:r>
                </w:p>
                <w:p>
                  <w:pPr>
                    <w:pStyle w:val="null3"/>
                    <w:jc w:val="center"/>
                  </w:pPr>
                  <w:r>
                    <w:rPr>
                      <w:rFonts w:ascii="仿宋_GB2312" w:hAnsi="仿宋_GB2312" w:cs="仿宋_GB2312" w:eastAsia="仿宋_GB2312"/>
                      <w:sz w:val="24"/>
                    </w:rPr>
                    <w:t>0-2</w:t>
                  </w:r>
                  <w:r>
                    <w:rPr>
                      <w:rFonts w:ascii="仿宋_GB2312" w:hAnsi="仿宋_GB2312" w:cs="仿宋_GB2312" w:eastAsia="仿宋_GB2312"/>
                      <w:sz w:val="24"/>
                    </w:rPr>
                    <w:t>分</w:t>
                  </w:r>
                </w:p>
              </w:tc>
              <w:tc>
                <w:tcPr>
                  <w:tcW w:type="dxa" w:w="624"/>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r>
            <w:tr>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应急保障服务</w:t>
                  </w:r>
                </w:p>
                <w:p>
                  <w:pPr>
                    <w:pStyle w:val="null3"/>
                    <w:jc w:val="center"/>
                  </w:pPr>
                  <w:r>
                    <w:rPr>
                      <w:rFonts w:ascii="仿宋_GB2312" w:hAnsi="仿宋_GB2312" w:cs="仿宋_GB2312" w:eastAsia="仿宋_GB2312"/>
                      <w:sz w:val="24"/>
                    </w:rPr>
                    <w:t>(14</w:t>
                  </w:r>
                  <w:r>
                    <w:rPr>
                      <w:rFonts w:ascii="仿宋_GB2312" w:hAnsi="仿宋_GB2312" w:cs="仿宋_GB2312" w:eastAsia="仿宋_GB2312"/>
                      <w:sz w:val="24"/>
                    </w:rPr>
                    <w:t>分</w:t>
                  </w:r>
                  <w:r>
                    <w:rPr>
                      <w:rFonts w:ascii="仿宋_GB2312" w:hAnsi="仿宋_GB2312" w:cs="仿宋_GB2312" w:eastAsia="仿宋_GB2312"/>
                      <w:sz w:val="24"/>
                    </w:rPr>
                    <w:t>)</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重大会议期间、节假日及其他重要事件期间，要按照中心要求提前提供保障计划，并按计划内容做好技术支撑服务。</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未及时提供保障计划或技术支撑不到位，每次扣</w:t>
                  </w:r>
                  <w:r>
                    <w:rPr>
                      <w:rFonts w:ascii="仿宋_GB2312" w:hAnsi="仿宋_GB2312" w:cs="仿宋_GB2312" w:eastAsia="仿宋_GB2312"/>
                      <w:sz w:val="24"/>
                    </w:rPr>
                    <w:t>2</w:t>
                  </w:r>
                  <w:r>
                    <w:rPr>
                      <w:rFonts w:ascii="仿宋_GB2312" w:hAnsi="仿宋_GB2312" w:cs="仿宋_GB2312" w:eastAsia="仿宋_GB2312"/>
                      <w:sz w:val="24"/>
                    </w:rPr>
                    <w:t>分，扣完为止。</w:t>
                  </w:r>
                </w:p>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分</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7"/>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系统突发重大故障或其他紧急情况时，应按用户要求提供现场或者远程的</w:t>
                  </w:r>
                  <w:r>
                    <w:rPr>
                      <w:rFonts w:ascii="仿宋_GB2312" w:hAnsi="仿宋_GB2312" w:cs="仿宋_GB2312" w:eastAsia="仿宋_GB2312"/>
                      <w:sz w:val="24"/>
                    </w:rPr>
                    <w:t>7*24</w:t>
                  </w:r>
                  <w:r>
                    <w:rPr>
                      <w:rFonts w:ascii="仿宋_GB2312" w:hAnsi="仿宋_GB2312" w:cs="仿宋_GB2312" w:eastAsia="仿宋_GB2312"/>
                      <w:sz w:val="24"/>
                    </w:rPr>
                    <w:t>小时技术支撑服务，确保系统正常运行。</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故障解决不及时或技术支撑不到位，每次扣</w:t>
                  </w:r>
                  <w:r>
                    <w:rPr>
                      <w:rFonts w:ascii="仿宋_GB2312" w:hAnsi="仿宋_GB2312" w:cs="仿宋_GB2312" w:eastAsia="仿宋_GB2312"/>
                      <w:sz w:val="24"/>
                    </w:rPr>
                    <w:t>2</w:t>
                  </w:r>
                  <w:r>
                    <w:rPr>
                      <w:rFonts w:ascii="仿宋_GB2312" w:hAnsi="仿宋_GB2312" w:cs="仿宋_GB2312" w:eastAsia="仿宋_GB2312"/>
                      <w:sz w:val="24"/>
                    </w:rPr>
                    <w:t>分，扣完为止。</w:t>
                  </w:r>
                </w:p>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分</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技术支撑服务</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分）</w:t>
                  </w:r>
                </w:p>
              </w:tc>
              <w:tc>
                <w:tcPr>
                  <w:tcW w:type="dxa" w:w="1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是否高质量完成</w:t>
                  </w:r>
                  <w:r>
                    <w:rPr>
                      <w:rFonts w:ascii="仿宋_GB2312" w:hAnsi="仿宋_GB2312" w:cs="仿宋_GB2312" w:eastAsia="仿宋_GB2312"/>
                      <w:sz w:val="24"/>
                    </w:rPr>
                    <w:t>“5.1</w:t>
                  </w:r>
                  <w:r>
                    <w:rPr>
                      <w:rFonts w:ascii="仿宋_GB2312" w:hAnsi="仿宋_GB2312" w:cs="仿宋_GB2312" w:eastAsia="仿宋_GB2312"/>
                      <w:sz w:val="24"/>
                    </w:rPr>
                    <w:t>技术支撑</w:t>
                  </w:r>
                  <w:r>
                    <w:rPr>
                      <w:rFonts w:ascii="仿宋_GB2312" w:hAnsi="仿宋_GB2312" w:cs="仿宋_GB2312" w:eastAsia="仿宋_GB2312"/>
                      <w:sz w:val="24"/>
                    </w:rPr>
                    <w:t>服务</w:t>
                  </w:r>
                  <w:r>
                    <w:rPr>
                      <w:rFonts w:ascii="仿宋_GB2312" w:hAnsi="仿宋_GB2312" w:cs="仿宋_GB2312" w:eastAsia="仿宋_GB2312"/>
                      <w:sz w:val="24"/>
                    </w:rPr>
                    <w:t>”</w:t>
                  </w:r>
                  <w:r>
                    <w:rPr>
                      <w:rFonts w:ascii="仿宋_GB2312" w:hAnsi="仿宋_GB2312" w:cs="仿宋_GB2312" w:eastAsia="仿宋_GB2312"/>
                      <w:sz w:val="24"/>
                    </w:rPr>
                    <w:t>部分工作。</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优秀：</w:t>
                  </w:r>
                  <w:r>
                    <w:rPr>
                      <w:rFonts w:ascii="仿宋_GB2312" w:hAnsi="仿宋_GB2312" w:cs="仿宋_GB2312" w:eastAsia="仿宋_GB2312"/>
                      <w:sz w:val="24"/>
                    </w:rPr>
                    <w:t>技术支撑</w:t>
                  </w:r>
                  <w:r>
                    <w:rPr>
                      <w:rFonts w:ascii="仿宋_GB2312" w:hAnsi="仿宋_GB2312" w:cs="仿宋_GB2312" w:eastAsia="仿宋_GB2312"/>
                      <w:sz w:val="24"/>
                    </w:rPr>
                    <w:t>工作规范有序，质量较高</w:t>
                  </w:r>
                  <w:r>
                    <w:rPr>
                      <w:rFonts w:ascii="仿宋_GB2312" w:hAnsi="仿宋_GB2312" w:cs="仿宋_GB2312" w:eastAsia="仿宋_GB2312"/>
                      <w:sz w:val="24"/>
                    </w:rPr>
                    <w:t>，满足用户使用要求，</w:t>
                  </w:r>
                  <w:r>
                    <w:rPr>
                      <w:rFonts w:ascii="仿宋_GB2312" w:hAnsi="仿宋_GB2312" w:cs="仿宋_GB2312" w:eastAsia="仿宋_GB2312"/>
                      <w:sz w:val="24"/>
                    </w:rPr>
                    <w:t>能够按进度完成或提前完成</w:t>
                  </w:r>
                  <w:r>
                    <w:rPr>
                      <w:rFonts w:ascii="仿宋_GB2312" w:hAnsi="仿宋_GB2312" w:cs="仿宋_GB2312" w:eastAsia="仿宋_GB2312"/>
                      <w:sz w:val="24"/>
                    </w:rPr>
                    <w:t>相关工作内容。</w:t>
                  </w:r>
                </w:p>
                <w:p>
                  <w:pPr>
                    <w:pStyle w:val="null3"/>
                    <w:jc w:val="center"/>
                  </w:pPr>
                  <w:r>
                    <w:rPr>
                      <w:rFonts w:ascii="仿宋_GB2312" w:hAnsi="仿宋_GB2312" w:cs="仿宋_GB2312" w:eastAsia="仿宋_GB2312"/>
                      <w:sz w:val="24"/>
                    </w:rPr>
                    <w:t>20-25</w:t>
                  </w:r>
                  <w:r>
                    <w:rPr>
                      <w:rFonts w:ascii="仿宋_GB2312" w:hAnsi="仿宋_GB2312" w:cs="仿宋_GB2312" w:eastAsia="仿宋_GB2312"/>
                      <w:sz w:val="24"/>
                    </w:rPr>
                    <w:t>分</w:t>
                  </w:r>
                </w:p>
              </w:tc>
              <w:tc>
                <w:tcPr>
                  <w:tcW w:type="dxa" w:w="6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7"/>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一般：</w:t>
                  </w:r>
                  <w:r>
                    <w:rPr>
                      <w:rFonts w:ascii="仿宋_GB2312" w:hAnsi="仿宋_GB2312" w:cs="仿宋_GB2312" w:eastAsia="仿宋_GB2312"/>
                      <w:sz w:val="24"/>
                    </w:rPr>
                    <w:t>技术支撑</w:t>
                  </w:r>
                  <w:r>
                    <w:rPr>
                      <w:rFonts w:ascii="仿宋_GB2312" w:hAnsi="仿宋_GB2312" w:cs="仿宋_GB2312" w:eastAsia="仿宋_GB2312"/>
                      <w:sz w:val="24"/>
                    </w:rPr>
                    <w:t>工作较为规范，质量</w:t>
                  </w:r>
                  <w:r>
                    <w:rPr>
                      <w:rFonts w:ascii="仿宋_GB2312" w:hAnsi="仿宋_GB2312" w:cs="仿宋_GB2312" w:eastAsia="仿宋_GB2312"/>
                      <w:sz w:val="24"/>
                    </w:rPr>
                    <w:t>较好，基本</w:t>
                  </w:r>
                  <w:r>
                    <w:rPr>
                      <w:rFonts w:ascii="仿宋_GB2312" w:hAnsi="仿宋_GB2312" w:cs="仿宋_GB2312" w:eastAsia="仿宋_GB2312"/>
                      <w:sz w:val="24"/>
                    </w:rPr>
                    <w:t>满足</w:t>
                  </w:r>
                  <w:r>
                    <w:rPr>
                      <w:rFonts w:ascii="仿宋_GB2312" w:hAnsi="仿宋_GB2312" w:cs="仿宋_GB2312" w:eastAsia="仿宋_GB2312"/>
                      <w:sz w:val="24"/>
                    </w:rPr>
                    <w:t>用户</w:t>
                  </w:r>
                  <w:r>
                    <w:rPr>
                      <w:rFonts w:ascii="仿宋_GB2312" w:hAnsi="仿宋_GB2312" w:cs="仿宋_GB2312" w:eastAsia="仿宋_GB2312"/>
                      <w:sz w:val="24"/>
                    </w:rPr>
                    <w:t>使用要求，部分内容出现超期，但</w:t>
                  </w:r>
                  <w:r>
                    <w:rPr>
                      <w:rFonts w:ascii="仿宋_GB2312" w:hAnsi="仿宋_GB2312" w:cs="仿宋_GB2312" w:eastAsia="仿宋_GB2312"/>
                      <w:sz w:val="24"/>
                    </w:rPr>
                    <w:t>整体</w:t>
                  </w:r>
                  <w:r>
                    <w:rPr>
                      <w:rFonts w:ascii="仿宋_GB2312" w:hAnsi="仿宋_GB2312" w:cs="仿宋_GB2312" w:eastAsia="仿宋_GB2312"/>
                      <w:sz w:val="24"/>
                    </w:rPr>
                    <w:t>工作能够按进度完成。</w:t>
                  </w:r>
                </w:p>
                <w:p>
                  <w:pPr>
                    <w:pStyle w:val="null3"/>
                    <w:jc w:val="center"/>
                  </w:pPr>
                  <w:r>
                    <w:rPr>
                      <w:rFonts w:ascii="仿宋_GB2312" w:hAnsi="仿宋_GB2312" w:cs="仿宋_GB2312" w:eastAsia="仿宋_GB2312"/>
                      <w:sz w:val="24"/>
                    </w:rPr>
                    <w:t>10-19</w:t>
                  </w:r>
                  <w:r>
                    <w:rPr>
                      <w:rFonts w:ascii="仿宋_GB2312" w:hAnsi="仿宋_GB2312" w:cs="仿宋_GB2312" w:eastAsia="仿宋_GB2312"/>
                      <w:sz w:val="24"/>
                    </w:rPr>
                    <w:t>分</w:t>
                  </w:r>
                </w:p>
              </w:tc>
              <w:tc>
                <w:tcPr>
                  <w:tcW w:type="dxa" w:w="624"/>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r>
            <w:tr>
              <w:tc>
                <w:tcPr>
                  <w:tcW w:type="dxa" w:w="427"/>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较差：</w:t>
                  </w:r>
                  <w:r>
                    <w:rPr>
                      <w:rFonts w:ascii="仿宋_GB2312" w:hAnsi="仿宋_GB2312" w:cs="仿宋_GB2312" w:eastAsia="仿宋_GB2312"/>
                      <w:sz w:val="24"/>
                    </w:rPr>
                    <w:t>技术支撑</w:t>
                  </w:r>
                  <w:r>
                    <w:rPr>
                      <w:rFonts w:ascii="仿宋_GB2312" w:hAnsi="仿宋_GB2312" w:cs="仿宋_GB2312" w:eastAsia="仿宋_GB2312"/>
                      <w:sz w:val="24"/>
                    </w:rPr>
                    <w:t>工作不规范，质量较差，</w:t>
                  </w:r>
                  <w:r>
                    <w:rPr>
                      <w:rFonts w:ascii="仿宋_GB2312" w:hAnsi="仿宋_GB2312" w:cs="仿宋_GB2312" w:eastAsia="仿宋_GB2312"/>
                      <w:sz w:val="24"/>
                    </w:rPr>
                    <w:t>无法满足用户使用，</w:t>
                  </w:r>
                  <w:r>
                    <w:rPr>
                      <w:rFonts w:ascii="仿宋_GB2312" w:hAnsi="仿宋_GB2312" w:cs="仿宋_GB2312" w:eastAsia="仿宋_GB2312"/>
                      <w:sz w:val="24"/>
                    </w:rPr>
                    <w:t>进度出现超期。</w:t>
                  </w:r>
                </w:p>
                <w:p>
                  <w:pPr>
                    <w:pStyle w:val="null3"/>
                    <w:jc w:val="center"/>
                  </w:pPr>
                  <w:r>
                    <w:rPr>
                      <w:rFonts w:ascii="仿宋_GB2312" w:hAnsi="仿宋_GB2312" w:cs="仿宋_GB2312" w:eastAsia="仿宋_GB2312"/>
                      <w:sz w:val="24"/>
                    </w:rPr>
                    <w:t>0-9</w:t>
                  </w:r>
                  <w:r>
                    <w:rPr>
                      <w:rFonts w:ascii="仿宋_GB2312" w:hAnsi="仿宋_GB2312" w:cs="仿宋_GB2312" w:eastAsia="仿宋_GB2312"/>
                      <w:sz w:val="24"/>
                    </w:rPr>
                    <w:t>分</w:t>
                  </w:r>
                </w:p>
              </w:tc>
              <w:tc>
                <w:tcPr>
                  <w:tcW w:type="dxa" w:w="624"/>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r>
            <w:tr>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日常运维工作质量</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分）</w:t>
                  </w:r>
                </w:p>
              </w:tc>
              <w:tc>
                <w:tcPr>
                  <w:tcW w:type="dxa" w:w="1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是否</w:t>
                  </w:r>
                  <w:r>
                    <w:rPr>
                      <w:rFonts w:ascii="仿宋_GB2312" w:hAnsi="仿宋_GB2312" w:cs="仿宋_GB2312" w:eastAsia="仿宋_GB2312"/>
                      <w:sz w:val="24"/>
                    </w:rPr>
                    <w:t>高效完成培训、日常疑问解答、技术问题处理、安全漏洞修复等工作。</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优秀：运维人员素质高，能</w:t>
                  </w:r>
                  <w:r>
                    <w:rPr>
                      <w:rFonts w:ascii="仿宋_GB2312" w:hAnsi="仿宋_GB2312" w:cs="仿宋_GB2312" w:eastAsia="仿宋_GB2312"/>
                      <w:sz w:val="24"/>
                    </w:rPr>
                    <w:t>很</w:t>
                  </w:r>
                  <w:r>
                    <w:rPr>
                      <w:rFonts w:ascii="仿宋_GB2312" w:hAnsi="仿宋_GB2312" w:cs="仿宋_GB2312" w:eastAsia="仿宋_GB2312"/>
                      <w:sz w:val="24"/>
                    </w:rPr>
                    <w:t>好的</w:t>
                  </w:r>
                  <w:r>
                    <w:rPr>
                      <w:rFonts w:ascii="仿宋_GB2312" w:hAnsi="仿宋_GB2312" w:cs="仿宋_GB2312" w:eastAsia="仿宋_GB2312"/>
                      <w:sz w:val="24"/>
                    </w:rPr>
                    <w:t>完成培训，快速开展日常疑问解答、技术问题处理，及时修复安全漏洞，服务期间无弱口令事件发生</w:t>
                  </w:r>
                  <w:r>
                    <w:rPr>
                      <w:rFonts w:ascii="仿宋_GB2312" w:hAnsi="仿宋_GB2312" w:cs="仿宋_GB2312" w:eastAsia="仿宋_GB2312"/>
                      <w:sz w:val="24"/>
                    </w:rPr>
                    <w:t>。</w:t>
                  </w:r>
                </w:p>
                <w:p>
                  <w:pPr>
                    <w:pStyle w:val="null3"/>
                    <w:jc w:val="center"/>
                  </w:pPr>
                  <w:r>
                    <w:rPr>
                      <w:rFonts w:ascii="仿宋_GB2312" w:hAnsi="仿宋_GB2312" w:cs="仿宋_GB2312" w:eastAsia="仿宋_GB2312"/>
                      <w:sz w:val="24"/>
                    </w:rPr>
                    <w:t>21-25</w:t>
                  </w:r>
                  <w:r>
                    <w:rPr>
                      <w:rFonts w:ascii="仿宋_GB2312" w:hAnsi="仿宋_GB2312" w:cs="仿宋_GB2312" w:eastAsia="仿宋_GB2312"/>
                      <w:sz w:val="24"/>
                    </w:rPr>
                    <w:t>分</w:t>
                  </w:r>
                </w:p>
              </w:tc>
              <w:tc>
                <w:tcPr>
                  <w:tcW w:type="dxa" w:w="6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7"/>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一般：运维人员素质较高，，</w:t>
                  </w:r>
                  <w:r>
                    <w:rPr>
                      <w:rFonts w:ascii="仿宋_GB2312" w:hAnsi="仿宋_GB2312" w:cs="仿宋_GB2312" w:eastAsia="仿宋_GB2312"/>
                      <w:sz w:val="24"/>
                    </w:rPr>
                    <w:t>能够按时完成培训、处理大部分日常疑问解答及技术问题，完成安全漏洞修复，服务期间无弱口令事件发生</w:t>
                  </w:r>
                  <w:r>
                    <w:rPr>
                      <w:rFonts w:ascii="仿宋_GB2312" w:hAnsi="仿宋_GB2312" w:cs="仿宋_GB2312" w:eastAsia="仿宋_GB2312"/>
                      <w:sz w:val="24"/>
                    </w:rPr>
                    <w:t>。</w:t>
                  </w:r>
                </w:p>
                <w:p>
                  <w:pPr>
                    <w:pStyle w:val="null3"/>
                    <w:jc w:val="center"/>
                  </w:pPr>
                  <w:r>
                    <w:rPr>
                      <w:rFonts w:ascii="仿宋_GB2312" w:hAnsi="仿宋_GB2312" w:cs="仿宋_GB2312" w:eastAsia="仿宋_GB2312"/>
                      <w:sz w:val="24"/>
                    </w:rPr>
                    <w:t>9-</w:t>
                  </w:r>
                  <w:r>
                    <w:rPr>
                      <w:rFonts w:ascii="仿宋_GB2312" w:hAnsi="仿宋_GB2312" w:cs="仿宋_GB2312" w:eastAsia="仿宋_GB2312"/>
                      <w:sz w:val="24"/>
                    </w:rPr>
                    <w:t>20</w:t>
                  </w:r>
                  <w:r>
                    <w:rPr>
                      <w:rFonts w:ascii="仿宋_GB2312" w:hAnsi="仿宋_GB2312" w:cs="仿宋_GB2312" w:eastAsia="仿宋_GB2312"/>
                      <w:sz w:val="24"/>
                    </w:rPr>
                    <w:t>分</w:t>
                  </w:r>
                </w:p>
              </w:tc>
              <w:tc>
                <w:tcPr>
                  <w:tcW w:type="dxa" w:w="624"/>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r>
            <w:tr>
              <w:tc>
                <w:tcPr>
                  <w:tcW w:type="dxa" w:w="427"/>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较差：工作中配合不到位、</w:t>
                  </w:r>
                  <w:r>
                    <w:rPr>
                      <w:rFonts w:ascii="仿宋_GB2312" w:hAnsi="仿宋_GB2312" w:cs="仿宋_GB2312" w:eastAsia="仿宋_GB2312"/>
                      <w:sz w:val="24"/>
                    </w:rPr>
                    <w:t>服务</w:t>
                  </w:r>
                  <w:r>
                    <w:rPr>
                      <w:rFonts w:ascii="仿宋_GB2312" w:hAnsi="仿宋_GB2312" w:cs="仿宋_GB2312" w:eastAsia="仿宋_GB2312"/>
                      <w:sz w:val="24"/>
                    </w:rPr>
                    <w:t>响应不及时</w:t>
                  </w:r>
                  <w:r>
                    <w:rPr>
                      <w:rFonts w:ascii="仿宋_GB2312" w:hAnsi="仿宋_GB2312" w:cs="仿宋_GB2312" w:eastAsia="仿宋_GB2312"/>
                      <w:sz w:val="24"/>
                    </w:rPr>
                    <w:t>，</w:t>
                  </w:r>
                  <w:r>
                    <w:rPr>
                      <w:rFonts w:ascii="仿宋_GB2312" w:hAnsi="仿宋_GB2312" w:cs="仿宋_GB2312" w:eastAsia="仿宋_GB2312"/>
                      <w:sz w:val="24"/>
                    </w:rPr>
                    <w:t>或因人员素质低导致</w:t>
                  </w:r>
                  <w:r>
                    <w:rPr>
                      <w:rFonts w:ascii="仿宋_GB2312" w:hAnsi="仿宋_GB2312" w:cs="仿宋_GB2312" w:eastAsia="仿宋_GB2312"/>
                      <w:sz w:val="24"/>
                    </w:rPr>
                    <w:t>日常问题、技术问题、安全漏洞不能及时处理，服务期间出现弱口令事件。</w:t>
                  </w:r>
                </w:p>
                <w:p>
                  <w:pPr>
                    <w:pStyle w:val="null3"/>
                    <w:jc w:val="center"/>
                  </w:pPr>
                  <w:r>
                    <w:rPr>
                      <w:rFonts w:ascii="仿宋_GB2312" w:hAnsi="仿宋_GB2312" w:cs="仿宋_GB2312" w:eastAsia="仿宋_GB2312"/>
                      <w:sz w:val="24"/>
                    </w:rPr>
                    <w:t>0-</w:t>
                  </w:r>
                  <w:r>
                    <w:rPr>
                      <w:rFonts w:ascii="仿宋_GB2312" w:hAnsi="仿宋_GB2312" w:cs="仿宋_GB2312" w:eastAsia="仿宋_GB2312"/>
                      <w:sz w:val="24"/>
                    </w:rPr>
                    <w:t>8</w:t>
                  </w:r>
                  <w:r>
                    <w:rPr>
                      <w:rFonts w:ascii="仿宋_GB2312" w:hAnsi="仿宋_GB2312" w:cs="仿宋_GB2312" w:eastAsia="仿宋_GB2312"/>
                      <w:sz w:val="24"/>
                    </w:rPr>
                    <w:t>分</w:t>
                  </w:r>
                </w:p>
              </w:tc>
              <w:tc>
                <w:tcPr>
                  <w:tcW w:type="dxa" w:w="624"/>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r>
            <w:tr>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过程文档</w:t>
                  </w:r>
                </w:p>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分</w:t>
                  </w:r>
                  <w:r>
                    <w:rPr>
                      <w:rFonts w:ascii="仿宋_GB2312" w:hAnsi="仿宋_GB2312" w:cs="仿宋_GB2312" w:eastAsia="仿宋_GB2312"/>
                      <w:sz w:val="24"/>
                    </w:rPr>
                    <w:t>)</w:t>
                  </w:r>
                </w:p>
              </w:tc>
              <w:tc>
                <w:tcPr>
                  <w:tcW w:type="dxa" w:w="1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运维过程中产生文档及各时间节点的总结报告提交的完整性、及时性。</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对于故障处理，</w:t>
                  </w:r>
                  <w:r>
                    <w:rPr>
                      <w:rFonts w:ascii="仿宋_GB2312" w:hAnsi="仿宋_GB2312" w:cs="仿宋_GB2312" w:eastAsia="仿宋_GB2312"/>
                      <w:sz w:val="24"/>
                    </w:rPr>
                    <w:t>2</w:t>
                  </w:r>
                  <w:r>
                    <w:rPr>
                      <w:rFonts w:ascii="仿宋_GB2312" w:hAnsi="仿宋_GB2312" w:cs="仿宋_GB2312" w:eastAsia="仿宋_GB2312"/>
                      <w:sz w:val="24"/>
                    </w:rPr>
                    <w:t>日内提供故障报告；每周巡检，巡检结果要在运维周报、月报中体现；运维期满半年后，一周内提供半年运维总结报告；运维期满一年后，一周内提供年度运维总结报告。未按时提交每次扣</w:t>
                  </w:r>
                  <w:r>
                    <w:rPr>
                      <w:rFonts w:ascii="仿宋_GB2312" w:hAnsi="仿宋_GB2312" w:cs="仿宋_GB2312" w:eastAsia="仿宋_GB2312"/>
                      <w:sz w:val="24"/>
                    </w:rPr>
                    <w:t>2</w:t>
                  </w:r>
                  <w:r>
                    <w:rPr>
                      <w:rFonts w:ascii="仿宋_GB2312" w:hAnsi="仿宋_GB2312" w:cs="仿宋_GB2312" w:eastAsia="仿宋_GB2312"/>
                      <w:sz w:val="24"/>
                    </w:rPr>
                    <w:t>分，未完整提交每次扣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w:t>
                  </w:r>
                </w:p>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分</w:t>
                  </w:r>
                  <w:r>
                    <w:rPr>
                      <w:rFonts w:ascii="仿宋_GB2312" w:hAnsi="仿宋_GB2312" w:cs="仿宋_GB2312" w:eastAsia="仿宋_GB2312"/>
                      <w:sz w:val="24"/>
                    </w:rPr>
                    <w:t>)</w:t>
                  </w:r>
                </w:p>
              </w:tc>
              <w:tc>
                <w:tcPr>
                  <w:tcW w:type="dxa" w:w="13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运维合理化建议</w:t>
                  </w: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提出次数</w:t>
                  </w:r>
                  <w:r>
                    <w:rPr>
                      <w:rFonts w:ascii="仿宋_GB2312" w:hAnsi="仿宋_GB2312" w:cs="仿宋_GB2312" w:eastAsia="仿宋_GB2312"/>
                      <w:sz w:val="24"/>
                    </w:rPr>
                    <w:t>≥3</w:t>
                  </w:r>
                  <w:r>
                    <w:rPr>
                      <w:rFonts w:ascii="仿宋_GB2312" w:hAnsi="仿宋_GB2312" w:cs="仿宋_GB2312" w:eastAsia="仿宋_GB2312"/>
                      <w:sz w:val="24"/>
                    </w:rPr>
                    <w:t>次。</w:t>
                  </w:r>
                </w:p>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分</w:t>
                  </w:r>
                </w:p>
              </w:tc>
              <w:tc>
                <w:tcPr>
                  <w:tcW w:type="dxa" w:w="6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需提供加盖公章的书面文档。</w:t>
                  </w:r>
                </w:p>
              </w:tc>
            </w:tr>
            <w:tr>
              <w:tc>
                <w:tcPr>
                  <w:tcW w:type="dxa" w:w="427"/>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提出次数</w:t>
                  </w:r>
                  <w:r>
                    <w:rPr>
                      <w:rFonts w:ascii="仿宋_GB2312" w:hAnsi="仿宋_GB2312" w:cs="仿宋_GB2312" w:eastAsia="仿宋_GB2312"/>
                      <w:sz w:val="24"/>
                    </w:rPr>
                    <w:t>&lt;2</w:t>
                  </w:r>
                  <w:r>
                    <w:rPr>
                      <w:rFonts w:ascii="仿宋_GB2312" w:hAnsi="仿宋_GB2312" w:cs="仿宋_GB2312" w:eastAsia="仿宋_GB2312"/>
                      <w:sz w:val="24"/>
                    </w:rPr>
                    <w:t>次。</w:t>
                  </w:r>
                </w:p>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分</w:t>
                  </w:r>
                </w:p>
              </w:tc>
              <w:tc>
                <w:tcPr>
                  <w:tcW w:type="dxa" w:w="624"/>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r>
            <w:tr>
              <w:tc>
                <w:tcPr>
                  <w:tcW w:type="dxa" w:w="427"/>
                  <w:vMerge/>
                  <w:tcBorders>
                    <w:top w:val="none" w:color="000000" w:sz="4"/>
                    <w:left w:val="single" w:color="000000" w:sz="4"/>
                    <w:bottom w:val="single" w:color="000000" w:sz="4"/>
                    <w:right w:val="single" w:color="000000" w:sz="4"/>
                  </w:tcBorders>
                </w:tcPr>
                <w:p/>
              </w:tc>
              <w:tc>
                <w:tcPr>
                  <w:tcW w:type="dxa" w:w="692"/>
                  <w:vMerge/>
                  <w:tcBorders>
                    <w:top w:val="none" w:color="000000" w:sz="4"/>
                    <w:left w:val="single" w:color="000000" w:sz="4"/>
                    <w:bottom w:val="single" w:color="000000" w:sz="4"/>
                    <w:right w:val="single" w:color="000000" w:sz="4"/>
                  </w:tcBorders>
                </w:tcPr>
                <w:p/>
              </w:tc>
              <w:tc>
                <w:tcPr>
                  <w:tcW w:type="dxa" w:w="1350"/>
                  <w:vMerge/>
                  <w:tcBorders>
                    <w:top w:val="none" w:color="000000" w:sz="4"/>
                    <w:left w:val="single" w:color="000000" w:sz="4"/>
                    <w:bottom w:val="single" w:color="000000" w:sz="4"/>
                    <w:right w:val="single" w:color="000000" w:sz="4"/>
                  </w:tcBorders>
                </w:tcPr>
                <w:p/>
              </w:tc>
              <w:tc>
                <w:tcPr>
                  <w:tcW w:type="dxa" w:w="1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没有提出。</w:t>
                  </w:r>
                </w:p>
                <w:p>
                  <w:pPr>
                    <w:pStyle w:val="null3"/>
                    <w:jc w:val="center"/>
                  </w:pPr>
                  <w:r>
                    <w:rPr>
                      <w:rFonts w:ascii="仿宋_GB2312" w:hAnsi="仿宋_GB2312" w:cs="仿宋_GB2312" w:eastAsia="仿宋_GB2312"/>
                      <w:sz w:val="24"/>
                    </w:rPr>
                    <w:t>0</w:t>
                  </w:r>
                  <w:r>
                    <w:rPr>
                      <w:rFonts w:ascii="仿宋_GB2312" w:hAnsi="仿宋_GB2312" w:cs="仿宋_GB2312" w:eastAsia="仿宋_GB2312"/>
                      <w:sz w:val="24"/>
                    </w:rPr>
                    <w:t>分</w:t>
                  </w:r>
                </w:p>
              </w:tc>
              <w:tc>
                <w:tcPr>
                  <w:tcW w:type="dxa" w:w="624"/>
                  <w:vMerge/>
                  <w:tcBorders>
                    <w:top w:val="none" w:color="000000" w:sz="4"/>
                    <w:left w:val="single" w:color="000000" w:sz="4"/>
                    <w:bottom w:val="single" w:color="000000" w:sz="4"/>
                    <w:right w:val="single" w:color="000000" w:sz="4"/>
                  </w:tcBorders>
                </w:tcPr>
                <w:p/>
              </w:tc>
              <w:tc>
                <w:tcPr>
                  <w:tcW w:type="dxa" w:w="581"/>
                  <w:vMerge/>
                  <w:tcBorders>
                    <w:top w:val="none" w:color="000000" w:sz="4"/>
                    <w:left w:val="single" w:color="000000" w:sz="4"/>
                    <w:bottom w:val="single" w:color="000000" w:sz="4"/>
                    <w:right w:val="single" w:color="000000" w:sz="4"/>
                  </w:tcBorders>
                </w:tcPr>
                <w:p/>
              </w:tc>
            </w:tr>
          </w:tbl>
          <w:p>
            <w:pPr>
              <w:pStyle w:val="null3"/>
              <w:ind w:firstLine="481"/>
              <w:jc w:val="both"/>
            </w:pPr>
            <w:r>
              <w:rPr>
                <w:rFonts w:ascii="仿宋_GB2312" w:hAnsi="仿宋_GB2312" w:cs="仿宋_GB2312" w:eastAsia="仿宋_GB2312"/>
                <w:sz w:val="24"/>
                <w:b/>
              </w:rPr>
              <w:t>★</w:t>
            </w:r>
            <w:r>
              <w:rPr>
                <w:rFonts w:ascii="仿宋_GB2312" w:hAnsi="仿宋_GB2312" w:cs="仿宋_GB2312" w:eastAsia="仿宋_GB2312"/>
                <w:sz w:val="24"/>
                <w:b/>
              </w:rPr>
              <w:t>八、源代码成果交付要求（实质性要求</w:t>
            </w:r>
            <w:r>
              <w:rPr>
                <w:rFonts w:ascii="仿宋_GB2312" w:hAnsi="仿宋_GB2312" w:cs="仿宋_GB2312" w:eastAsia="仿宋_GB2312"/>
                <w:sz w:val="24"/>
                <w:b/>
              </w:rPr>
              <w:t>，需单独提供承诺函</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为确保各业务应用后续的可维护性，服务方在服务期间对各应用执行功能优化调整、漏洞修复等相关开发内容后，需向甲方提供完整的源代码（非编译后代码）成果，具体要求如下：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源代码成果：需要提交最新且完整的源代码，包括业务应用所有功能模块程序、配置文件、数据脚本，以及服务方自行开发会直接影响应用正常运行的工具组件等代码内容，以及相应代码注释。确保交付源码能够完整部署并运行，后续可交接维护，并据此进一步优化更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更新文档：服务方在执行开发工作后，应针对应用程序调整内容、数据库调整内容，更新架构设计、数据库说明、接口规范、用户手册、部署手册等文档内容。提高应用维护工作规范性，保障应用持续高效、稳定运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版权与许可：服务期间，服务方执行开发工作，应遵循国家知识产权保护相关规定，确保形成的源代码成果不侵犯任何第三方的知识产权。同时，未经四川省环境信息中心许可，不得将本项目形成的源代码成果向任何第三方授权使用。</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（1）技术支撑服务 自项目合同签订之日起，服务方即开展技术支撑相关工作，直到完成全部优化内容。 （2）运维保障服务 自2025年6月1日起至2026年5月31日结束，为期一年。（自运维服务期开始起15个工作日内，服务方应同各系统原服务方完成工作交接；运维服务到期并完成项目验收后，原服务方应与新服务方完成工作交接后方可离场。）</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四川省环境信息中心</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中标人运维服务期满,采购方确认本合同约定事项己经履行完毕，无重大质量问题，即可验收。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1、采购方、中标人双方在完成合同签订生效，采购人接到中标人缴纳的履约保证金（合同总价的10%）及正规发票及付款申请后，达到付款条件起15日内，支付合同总金额的40.00%</w:t>
            </w:r>
          </w:p>
          <w:p>
            <w:pPr>
              <w:pStyle w:val="null3"/>
              <w:jc w:val="left"/>
            </w:pPr>
            <w:r>
              <w:rPr>
                <w:rFonts w:ascii="仿宋_GB2312" w:hAnsi="仿宋_GB2312" w:cs="仿宋_GB2312" w:eastAsia="仿宋_GB2312"/>
              </w:rPr>
              <w:t>2、中标人完成第一次运行质量分析服务，提交运行性能诊断报告，完成诊断问题整改并经采购方确认整改到位；并完成第一次应急演练，经采购方确认演练过程应急处置到位，采购方接到中标人正规发票及付款申请后，达到付款条件起15日内，支付合同总金额的30.00%</w:t>
            </w:r>
          </w:p>
          <w:p>
            <w:pPr>
              <w:pStyle w:val="null3"/>
              <w:jc w:val="left"/>
            </w:pPr>
            <w:r>
              <w:rPr>
                <w:rFonts w:ascii="仿宋_GB2312" w:hAnsi="仿宋_GB2312" w:cs="仿宋_GB2312" w:eastAsia="仿宋_GB2312"/>
              </w:rPr>
              <w:t>3、中标人完成技术支撑服务内容，并完成第二次应急演练，经采购方确认演练过程应急处置到位，采购方接到中标人正规发票及付款申请后，达到付款条件起15日内，支付合同总金额的30.00%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①　若中标人(供应商)未按本合同约定或采购人发货通知要求的期限交货或完成本合同约定的其他工作的，每逾期一天，中标人(供应商)应按本合同总价款的 0.1  %向采购人支付违约金；逾期  15 天，采购人有权选择单方解除本合同。 ②　中标人(供应商)交付的成品（服务）不合格，包括但不限于成品（服务）的数量、规格、质量等与本合同约定不符的，应当向采购人支付本合同总金额的  1 %作为违约金；中标人(供应商)未按时修理、更换、重新交付的，还应当按照本合同总价款的 0.1  %向采购人支付违约金，逾期   15   日仍未更换、补足或更换、补足后仍不符合合同约定的，采购人有权选择单方解除本合同或部分解除本合同。 ③　中标人(供应商)应当保证向采购人提供的成品（服务）不会因此侵犯到第三人的所有权、知识产权等一切权利也未对成品（服务）设置任何负担。因中标人(供应商)违反本款约定产生纠纷的，由中标人(供应商)负责解决并赔偿由此给采购人造成的全部损失。 ④　本合同签订及履行过程中，未经采购人书面同意，中标人(供应商)不得将本合同的权利义务以任何方式转让给第三人，否则采购人有权选择单方解除本合同并要求中标人(供应商)支付   10   %的违约金。 ⑤　按本合同约定采购人选择解除合同的，自采购人解除合同的书面通知送达中标人(供应商)之日起合同解除，中标人(供应商)应赔偿由此给采购人造成的全部损失。采购人不支付中标人(供应商)任何费用，中标人(供应商)对解除合同有异议的异议期为7日。中标人(供应商)应当在合同解除后   20   日内退还采购人支付的所有费用（如有），自费运回所交付的全部货物，付清违约金、赔偿金。 ⑥　中标人(供应商)违反本合同约定或法律规定的，应当赔偿给采购人造成的全部损失，包括但不限于直接损失、预期利益损失、采购人向第三人支付的违约金、赔偿金及采购人为索赔支出的律师费、诉讼费等全部费用。 ⑦　本合同签订后，未经采购人书面同意，中标人(供应商)单方面解除合同的，应向采购人支付本合同总价款  30  %的违约金，退还采购人已支付的全部费用并赔偿由此给采购人造成的全部损失。 解决争议办法： 因本项目引起的或与本项目有关的任何争议，双方协商解决，协商不成或不愿协商的，按下列第    2  种方式解决： ①　提交成都仲裁委员会仲裁。仲裁裁决是终局的，对各方均有约束力； 依法向采购人所在地有管辖权的人民法院起诉。</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①安全责任：投标人所提供的服务质量须达到采购人的要求，在保证服务期和服务质量的前提下为采购人提供服务，服务中的一切风险（包括人员安全事故责任、与第三方的劳务纠纷、项目实施过程中的劳务纠纷及人员伤害等）均由投标人一方承担责任。 ②报价要求：报价应是最终采购人验收合格后的总价，包括实施和完成本项目所需的服务费、住宿费、交通费、餐饮费、管理费、利润及税费等一切与本项目相关的费用，采购人不再支付其他任何费用。 ③保密条款： a.采购人提供给中标人(供应商)的所有文件材料（包括书面介质和非书面介质），都具有确保安全保密的要求。中标人(供应商)承诺对采购人交付的所有文件资料承担保密义务。 b.中标人(供应商)未经采购人书面同意，不得以泄露、告知、公布、发布、出版、传授、转载、展示、转让或者其他任何方式使任何第三方知悉采购人交付的文件资料内容，也不得在合作过程中不正当使用或者在合作过程之外使用或许可、帮助他人使用采购人交付的文件资料。 c.中标人(供应商)发现采购人交付的文件资料可能被泄露或已经被泄露时，应及时采取有效措施防止损失的进一步扩大，并及时向采购人通报相关情况。 d.中标人(供应商)与采购人的合作结束后，无论因为何种原因导致合作结束的，中标人(供应商)仍应按照本协议的规定对其在合作期间接触、知悉的采购人交付的文件资料承担保密义务，该保密义务直至上述文件资料由采购人公开止。 e.中标人(供应商)应将采购人交付的文件资料的接触范围限制在指定范围内，尽可能缩小知悉、了解采购人文件资料的雇员的范围。 f.因为中标人(供应商)以及中标人(供应商)之雇员的原因导致采购人的文件资料被泄漏或不正当使用的，视为中标人(供应商)违反本协议。 g.中标人(供应商)保证在工作完成后：（1）电脑工作人员及时将电子文档删除；（2）文印工作人员负责将印版销毁；（3）装订工作人员负责把废页销毁。 h.任何时候，如采购人提出要求，则中标人(供应商)应根据采购人要求将采购人提供的文档、资料、电子文件等归还采购人或进行销毁。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提供截至提交投标文件截止之日前一年内，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招标文件的实质性要求</w:t>
            </w:r>
          </w:p>
        </w:tc>
        <w:tc>
          <w:tcPr>
            <w:tcW w:type="dxa" w:w="3322"/>
          </w:tcPr>
          <w:p>
            <w:pPr>
              <w:pStyle w:val="null3"/>
              <w:jc w:val="left"/>
            </w:pPr>
            <w:r>
              <w:rPr>
                <w:rFonts w:ascii="仿宋_GB2312" w:hAnsi="仿宋_GB2312" w:cs="仿宋_GB2312" w:eastAsia="仿宋_GB2312"/>
              </w:rPr>
              <w:t>评标委员会依据本招标文件的实质性要求，对符合资格的投标文件进行审查，以确定其是否满足本招标文件的实质性要求。本项目符合性审查事项仅限于本招标文件的明确规定。投标文件是否满足招标文件的实质性要求，必须以本招标文件的明确规定作为依据，否则，不能对投标文件作为无效处理，评标委员会不得臆测符合性审查事项。</w:t>
            </w:r>
          </w:p>
        </w:tc>
        <w:tc>
          <w:tcPr>
            <w:tcW w:type="dxa" w:w="1910"/>
          </w:tcPr>
          <w:p>
            <w:pPr>
              <w:pStyle w:val="null3"/>
              <w:jc w:val="left"/>
            </w:pPr>
            <w:r>
              <w:rPr>
                <w:rFonts w:ascii="仿宋_GB2312" w:hAnsi="仿宋_GB2312" w:cs="仿宋_GB2312" w:eastAsia="仿宋_GB2312"/>
              </w:rPr>
              <w:t>技术、服务要求应答表.docx,投标人应提交的相关证明材料,报价表,商务应答表.docx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技术支撑服务方案</w:t>
            </w:r>
          </w:p>
        </w:tc>
        <w:tc>
          <w:tcPr>
            <w:tcW w:type="dxa" w:w="2575"/>
          </w:tcPr>
          <w:p>
            <w:pPr>
              <w:pStyle w:val="null3"/>
              <w:jc w:val="left"/>
            </w:pPr>
            <w:r>
              <w:rPr>
                <w:rFonts w:ascii="仿宋_GB2312" w:hAnsi="仿宋_GB2312" w:cs="仿宋_GB2312" w:eastAsia="仿宋_GB2312"/>
              </w:rPr>
              <w:t>供应商根据本文件“5服务内容-5.1技术支撑服务”要求制定服务方案，方案内容包括：①OA系统版本升级优化方案；②系统性能优化提升方案；③专家库语音AI电话功能方案；④信息技术创新验证方案；⑤4A用户体系系统密码改造方案。每项内容均符合招标文件要求，符合项目实际需求、描述详尽且有利于项目实施的得15分，每缺少1项内容扣3分；每有1项有瑕疵扣1.5分。 注：瑕疵是指存在项目名称错误、地点区域错误、内容与本项目需求无关、仅有框架或标题、自身内容矛盾、适用的标准（方法）错误、明显复制其他项目内容任意一种情形。</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运维保障服务方案</w:t>
            </w:r>
          </w:p>
        </w:tc>
        <w:tc>
          <w:tcPr>
            <w:tcW w:type="dxa" w:w="2575"/>
          </w:tcPr>
          <w:p>
            <w:pPr>
              <w:pStyle w:val="null3"/>
              <w:jc w:val="left"/>
            </w:pPr>
            <w:r>
              <w:rPr>
                <w:rFonts w:ascii="仿宋_GB2312" w:hAnsi="仿宋_GB2312" w:cs="仿宋_GB2312" w:eastAsia="仿宋_GB2312"/>
              </w:rPr>
              <w:t>供应商根据本文件“5服务内容-5.2运维保障服务”内容制定运维服务方案，方案内容包括：①故障响应及排除服务方案；②日常巡检服务方案；③工作值守服务台服务方案；④运行质量分析服务方案；⑤数据备份服务方案；⑥重大事件保障服务方案；⑦应急处置及演练方案；⑧配置管理服务方案；⑨信息安全防护服务方案；⑩第三方业务系统4A对接方案。每项内容均符合招标文件要求，符合项目实际需求，对与采购人工作对接安排、质量保障措施、保密措施等描述详尽且有利于项目实施的得25分，每缺少1项内容扣2.5分；每有1项有瑕疵扣1分。 注：瑕疵是指存在项目名称错误、地点区域错误、内容与本项目需求无关、仅有框架或标题、自身内容矛盾、适用的标准（方法）错误、明显复制其他项目内容任意一种情形。</w:t>
            </w:r>
          </w:p>
        </w:tc>
        <w:tc>
          <w:tcPr>
            <w:tcW w:type="dxa" w:w="831"/>
          </w:tcPr>
          <w:p>
            <w:pPr>
              <w:pStyle w:val="null3"/>
              <w:jc w:val="center"/>
            </w:pPr>
            <w:r>
              <w:rPr>
                <w:rFonts w:ascii="仿宋_GB2312" w:hAnsi="仿宋_GB2312" w:cs="仿宋_GB2312" w:eastAsia="仿宋_GB2312"/>
              </w:rPr>
              <w:t>25.0000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技术保障</w:t>
            </w:r>
          </w:p>
        </w:tc>
        <w:tc>
          <w:tcPr>
            <w:tcW w:type="dxa" w:w="2575"/>
          </w:tcPr>
          <w:p>
            <w:pPr>
              <w:pStyle w:val="null3"/>
              <w:jc w:val="left"/>
            </w:pPr>
            <w:r>
              <w:rPr>
                <w:rFonts w:ascii="仿宋_GB2312" w:hAnsi="仿宋_GB2312" w:cs="仿宋_GB2312" w:eastAsia="仿宋_GB2312"/>
              </w:rPr>
              <w:t>1、供应商具有中国网络安全审查技术与认证中心或有资质的第三方机构颁发的信息技术服务管理体系认证证书的得2分，不提供不得分； 2、供应商具有中国网络安全审查技术与认证中心或有资质的第三方机构颁发的信息安全管理体系认证证书的得2分，不提供不得分; 3、供应商具有电子政务相关专利或软件著作权证书，每提供一个证书得 2 分，最高得 8分，不提供不得分。 注：提供有效证书复印件，并加盖投标人公章。</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本项目项目经理具有（1）中华人民共和国人力资源和社会保障部、工业和信息化部批准颁发的信息系统项目管理师证书；（2）中国网络安全审查技术与认证中心颁发的信息安全保障人员认证证书（CISAW）；（3）中华人民共和国人力资源和社会保障部、工业和信息化部批准颁发的系统规划与管理师证书；（4）中华人民共和国信息产业部或中华人民共和国人力资源和社会保障部、工业和信息化部颁发的通信工程师（计算机网络）证书；每有1个证书的得2分，最高得8分。 2、本项目的高级技术专家具有（1）中华人民共和国人力资源和社会保障部、工业和信息化部批准颁发的信息系统项目管理师证书；（2）中华人民共和国人力资源和社会保障部、工业和信息化部批准颁发的系统架构设计师证书；（3）中华人民共和国人力资源和社会保障部、工业和信息化部批准颁发的系统规划与管理师证书；（4）中华人民共和国人力资源和社会保障部、工业和信息化部批准颁发的系统分析师证书；每提供1个证书得2分，最高得8分 3、本项目团队人员（项目经理及高级技术专家除外）具有“人力资源和社会保障部及工业和信息化部联合颁发的计算机技术与软件专业技术资格（水平）考试中级及以上证书”每提供一个证书得 0.5分，最高得 2 分，不提供不得分。 注：提供以下证明文件复印件并加盖投标人公章。 注：1、项目经理和高级技术专家不能是同一个人；2、提供有效证书复印件和在职证明，并加盖供应商鲜章；不提供不得分。</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投标人本项目管理、技术、服务人员情况表.docx</w:t>
            </w:r>
          </w:p>
        </w:tc>
      </w:tr>
      <w:tr>
        <w:tc>
          <w:tcPr>
            <w:tcW w:type="dxa" w:w="831"/>
            <w:vMerge/>
          </w:tcPr>
          <w:p/>
        </w:tc>
        <w:tc>
          <w:tcPr>
            <w:tcW w:type="dxa" w:w="1661"/>
          </w:tcPr>
          <w:p>
            <w:pPr>
              <w:pStyle w:val="null3"/>
              <w:jc w:val="left"/>
            </w:pPr>
            <w:r>
              <w:rPr>
                <w:rFonts w:ascii="仿宋_GB2312" w:hAnsi="仿宋_GB2312" w:cs="仿宋_GB2312" w:eastAsia="仿宋_GB2312"/>
              </w:rPr>
              <w:t>项目团队配置</w:t>
            </w:r>
          </w:p>
        </w:tc>
        <w:tc>
          <w:tcPr>
            <w:tcW w:type="dxa" w:w="2575"/>
          </w:tcPr>
          <w:p>
            <w:pPr>
              <w:pStyle w:val="null3"/>
              <w:jc w:val="left"/>
            </w:pPr>
            <w:r>
              <w:rPr>
                <w:rFonts w:ascii="仿宋_GB2312" w:hAnsi="仿宋_GB2312" w:cs="仿宋_GB2312" w:eastAsia="仿宋_GB2312"/>
              </w:rPr>
              <w:t>供应商提供人员职责分工方案，包括：①运维团队人员配备及组织分工和职责描述,②重大复杂故障、重大业务调整、割接和保障情况下人员配备，③与采购人的沟通交流机制，④特殊时期驻场人员配置。以上每项内容符合招标文件要求，符合项目实际需求、描述详尽且有利于项目实施的得8分，每缺少1项内容扣2分；每有1项有瑕疵扣1分。 注：瑕疵是指1、存在项目名称错误、地点区域错误、内容与本项目需求无关、仅有框架或标题、自身内容矛盾、适用的标准（方法）错误、明显复制其他项目内容任意一种情形。</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575"/>
          </w:tcPr>
          <w:p>
            <w:pPr>
              <w:pStyle w:val="null3"/>
              <w:jc w:val="left"/>
            </w:pPr>
            <w:r>
              <w:rPr>
                <w:rFonts w:ascii="仿宋_GB2312" w:hAnsi="仿宋_GB2312" w:cs="仿宋_GB2312" w:eastAsia="仿宋_GB2312"/>
              </w:rPr>
              <w:t>供应商具有2021年1月1日（含）以来类似服务案例，每提供1个的得2分，不提供不得分，本项最多得12分。 注：以合同签订日期为准，提供中标（成交）通知书复印件、合同复印件，并加盖投标人公章。</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投标人类似项目一览表.docx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详见附件：投标人本项目管理、技术、服务人员情况表.docx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详见附件：投标人类似项目一览表.docx</w:t>
      </w:r>
    </w:p>
    <w:p>
      <w:pPr>
        <w:pStyle w:val="null3"/>
        <w:ind w:firstLine="960"/>
        <w:jc w:val="left"/>
      </w:pPr>
      <w:r>
        <w:rPr>
          <w:rFonts w:ascii="仿宋_GB2312" w:hAnsi="仿宋_GB2312" w:cs="仿宋_GB2312" w:eastAsia="仿宋_GB2312"/>
        </w:rPr>
        <w:t>详见附件：方案.docx</w:t>
      </w:r>
    </w:p>
    <w:p>
      <w:pPr>
        <w:pStyle w:val="null3"/>
        <w:ind w:firstLine="960"/>
        <w:jc w:val="left"/>
      </w:pPr>
      <w:r>
        <w:rPr>
          <w:rFonts w:ascii="仿宋_GB2312" w:hAnsi="仿宋_GB2312" w:cs="仿宋_GB2312" w:eastAsia="仿宋_GB2312"/>
        </w:rPr>
        <w:t>详见附件：技术、服务要求应答表.docx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