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A804B">
      <w:pPr>
        <w:tabs>
          <w:tab w:val="center" w:pos="4153"/>
          <w:tab w:val="right" w:pos="8306"/>
        </w:tabs>
        <w:spacing w:line="360" w:lineRule="auto"/>
        <w:jc w:val="center"/>
        <w:rPr>
          <w:rFonts w:ascii="Calibri" w:hAnsi="宋体" w:eastAsia="方正仿宋" w:cs="宋体"/>
          <w:b/>
          <w:color w:val="auto"/>
          <w:sz w:val="24"/>
          <w:highlight w:val="none"/>
        </w:rPr>
      </w:pPr>
      <w:bookmarkStart w:id="0" w:name="_Toc25900"/>
      <w:r>
        <w:rPr>
          <w:rFonts w:hint="eastAsia" w:ascii="Calibri" w:hAnsi="宋体" w:eastAsia="方正仿宋" w:cs="宋体"/>
          <w:b/>
          <w:color w:val="auto"/>
          <w:sz w:val="24"/>
          <w:highlight w:val="none"/>
        </w:rPr>
        <w:t>合同主要条款</w:t>
      </w:r>
    </w:p>
    <w:p w14:paraId="4D077815">
      <w:pPr>
        <w:spacing w:line="360" w:lineRule="auto"/>
        <w:rPr>
          <w:rFonts w:ascii="宋体" w:hAnsi="宋体"/>
          <w:b/>
          <w:color w:val="auto"/>
          <w:sz w:val="24"/>
          <w:highlight w:val="none"/>
        </w:rPr>
      </w:pPr>
      <w:r>
        <w:rPr>
          <w:rFonts w:hint="eastAsia" w:hAnsi="宋体" w:eastAsia="方正仿宋" w:cs="宋体"/>
          <w:b/>
          <w:color w:val="auto"/>
          <w:sz w:val="24"/>
          <w:highlight w:val="none"/>
        </w:rPr>
        <w:t>（以下仅为范本格式，具体内容由成交供应商与采购人按</w:t>
      </w:r>
      <w:r>
        <w:rPr>
          <w:rFonts w:hint="eastAsia" w:hAnsi="宋体" w:eastAsia="方正仿宋" w:cs="宋体"/>
          <w:b/>
          <w:color w:val="auto"/>
          <w:sz w:val="24"/>
          <w:highlight w:val="none"/>
          <w:lang w:eastAsia="zh-Hans"/>
        </w:rPr>
        <w:t>招标</w:t>
      </w:r>
      <w:r>
        <w:rPr>
          <w:rFonts w:hint="eastAsia" w:hAnsi="宋体" w:eastAsia="方正仿宋" w:cs="宋体"/>
          <w:b/>
          <w:color w:val="auto"/>
          <w:sz w:val="24"/>
          <w:highlight w:val="none"/>
        </w:rPr>
        <w:t>文件、投标文件等相关内容、要求详细进行拟定）</w:t>
      </w:r>
    </w:p>
    <w:bookmarkEnd w:id="0"/>
    <w:p w14:paraId="1501BED2">
      <w:pPr>
        <w:pStyle w:val="6"/>
        <w:spacing w:line="360" w:lineRule="auto"/>
        <w:jc w:val="left"/>
        <w:rPr>
          <w:rFonts w:hint="default" w:ascii="宋体" w:hAnsi="宋体" w:eastAsia="宋体" w:cs="Times New Roman"/>
          <w:b/>
          <w:color w:val="auto"/>
          <w:sz w:val="24"/>
          <w:szCs w:val="24"/>
          <w:highlight w:val="none"/>
          <w:lang w:val="en-US" w:eastAsia="zh-CN" w:bidi="ar-SA"/>
        </w:rPr>
      </w:pPr>
      <w:r>
        <w:rPr>
          <w:rFonts w:hint="eastAsia" w:ascii="宋体" w:hAnsi="宋体" w:eastAsia="宋体" w:cs="Times New Roman"/>
          <w:b/>
          <w:color w:val="auto"/>
          <w:sz w:val="24"/>
          <w:szCs w:val="24"/>
          <w:highlight w:val="none"/>
          <w:lang w:val="en-US" w:eastAsia="zh-CN" w:bidi="ar-SA"/>
        </w:rPr>
        <w:t>合同编号：</w:t>
      </w:r>
    </w:p>
    <w:p w14:paraId="208E9A47">
      <w:pPr>
        <w:pStyle w:val="6"/>
        <w:spacing w:line="360" w:lineRule="auto"/>
        <w:jc w:val="center"/>
        <w:rPr>
          <w:rFonts w:hAnsi="宋体" w:cs="宋体"/>
          <w:b/>
          <w:color w:val="auto"/>
          <w:sz w:val="36"/>
          <w:szCs w:val="36"/>
          <w:highlight w:val="none"/>
        </w:rPr>
      </w:pPr>
      <w:r>
        <w:rPr>
          <w:rFonts w:hint="eastAsia" w:hAnsi="宋体" w:cs="宋体"/>
          <w:b/>
          <w:color w:val="auto"/>
          <w:sz w:val="36"/>
          <w:szCs w:val="36"/>
          <w:highlight w:val="none"/>
        </w:rPr>
        <w:t xml:space="preserve">购 销 合 同 </w:t>
      </w:r>
    </w:p>
    <w:p w14:paraId="05E084E5">
      <w:pPr>
        <w:spacing w:line="360" w:lineRule="auto"/>
        <w:jc w:val="left"/>
        <w:rPr>
          <w:rFonts w:hAnsi="宋体"/>
          <w:b/>
          <w:color w:val="auto"/>
          <w:sz w:val="24"/>
          <w:szCs w:val="24"/>
          <w:highlight w:val="none"/>
        </w:rPr>
      </w:pPr>
      <w:r>
        <w:rPr>
          <w:rFonts w:hint="eastAsia" w:hAnsi="宋体"/>
          <w:b/>
          <w:color w:val="auto"/>
          <w:sz w:val="24"/>
          <w:szCs w:val="24"/>
          <w:highlight w:val="none"/>
        </w:rPr>
        <w:t xml:space="preserve">甲方：成都市第五人民医院   </w:t>
      </w:r>
    </w:p>
    <w:p w14:paraId="5DF138F3">
      <w:pPr>
        <w:tabs>
          <w:tab w:val="center" w:pos="4592"/>
        </w:tabs>
        <w:spacing w:line="360" w:lineRule="auto"/>
        <w:jc w:val="left"/>
        <w:rPr>
          <w:rFonts w:hint="default" w:hAnsi="宋体" w:eastAsia="宋体"/>
          <w:b/>
          <w:color w:val="auto"/>
          <w:sz w:val="24"/>
          <w:szCs w:val="24"/>
          <w:highlight w:val="none"/>
          <w:lang w:val="en-US" w:eastAsia="zh-CN"/>
        </w:rPr>
      </w:pPr>
      <w:r>
        <w:rPr>
          <w:rFonts w:hint="eastAsia" w:hAnsi="宋体"/>
          <w:b/>
          <w:color w:val="auto"/>
          <w:sz w:val="24"/>
          <w:szCs w:val="24"/>
          <w:highlight w:val="none"/>
        </w:rPr>
        <w:t xml:space="preserve">乙方： </w:t>
      </w:r>
      <w:r>
        <w:rPr>
          <w:rFonts w:hint="eastAsia" w:ascii="宋体" w:hAnsi="宋体" w:eastAsia="宋体" w:cs="Times New Roman"/>
          <w:b/>
          <w:color w:val="auto"/>
          <w:sz w:val="24"/>
          <w:szCs w:val="24"/>
          <w:highlight w:val="none"/>
        </w:rPr>
        <w:tab/>
      </w:r>
    </w:p>
    <w:p w14:paraId="5124EC4D">
      <w:pPr>
        <w:spacing w:line="360" w:lineRule="auto"/>
        <w:rPr>
          <w:rFonts w:hAnsi="宋体" w:cs="宋体"/>
          <w:color w:val="auto"/>
          <w:sz w:val="24"/>
          <w:szCs w:val="24"/>
          <w:highlight w:val="none"/>
        </w:rPr>
      </w:pPr>
      <w:r>
        <w:rPr>
          <w:rFonts w:hint="eastAsia" w:hAnsi="宋体" w:cs="宋体"/>
          <w:color w:val="auto"/>
          <w:sz w:val="24"/>
          <w:szCs w:val="24"/>
          <w:highlight w:val="none"/>
        </w:rPr>
        <w:t xml:space="preserve">    根据《中华人民共和国民法典》和《中华人民共和国政府采购法》及相关法律法规的规定，甲、乙双方经过友好协商、本着平等互利的原则，一致同意按以下条款在成都市温江区签署本合同。</w:t>
      </w:r>
    </w:p>
    <w:p w14:paraId="5BD7543F">
      <w:pPr>
        <w:numPr>
          <w:ilvl w:val="0"/>
          <w:numId w:val="1"/>
        </w:numPr>
        <w:spacing w:line="360" w:lineRule="auto"/>
        <w:rPr>
          <w:rFonts w:hAnsi="宋体" w:cs="宋体"/>
          <w:b/>
          <w:bCs/>
          <w:color w:val="auto"/>
          <w:sz w:val="24"/>
          <w:szCs w:val="24"/>
          <w:highlight w:val="none"/>
        </w:rPr>
      </w:pPr>
      <w:r>
        <w:rPr>
          <w:rFonts w:hint="eastAsia" w:hAnsi="宋体" w:cs="宋体"/>
          <w:b/>
          <w:bCs/>
          <w:color w:val="auto"/>
          <w:sz w:val="24"/>
          <w:szCs w:val="24"/>
          <w:highlight w:val="none"/>
        </w:rPr>
        <w:t>本合同的设立前提</w:t>
      </w:r>
    </w:p>
    <w:p w14:paraId="753B1683">
      <w:pPr>
        <w:spacing w:line="360" w:lineRule="auto"/>
        <w:ind w:firstLine="480" w:firstLineChars="200"/>
        <w:rPr>
          <w:rFonts w:hAnsi="宋体" w:cs="宋体"/>
          <w:bCs/>
          <w:color w:val="auto"/>
          <w:sz w:val="24"/>
          <w:szCs w:val="24"/>
          <w:highlight w:val="none"/>
          <w:shd w:val="clear" w:color="auto" w:fill="auto"/>
        </w:rPr>
      </w:pPr>
      <w:r>
        <w:rPr>
          <w:rFonts w:hint="eastAsia" w:hAnsi="宋体" w:cs="宋体"/>
          <w:color w:val="auto"/>
          <w:sz w:val="24"/>
          <w:szCs w:val="24"/>
          <w:highlight w:val="none"/>
        </w:rPr>
        <w:t>鉴于</w:t>
      </w:r>
      <w:r>
        <w:rPr>
          <w:rFonts w:hint="eastAsia" w:hAnsi="宋体" w:cs="宋体"/>
          <w:bCs/>
          <w:color w:val="auto"/>
          <w:sz w:val="24"/>
          <w:szCs w:val="24"/>
          <w:highlight w:val="none"/>
        </w:rPr>
        <w:t>甲乙双方已协商一致，甲方为获得以下货物和伴随服务，同意接受乙方以总金额人民币（大写）：</w:t>
      </w:r>
      <w:r>
        <w:rPr>
          <w:rFonts w:hint="eastAsia" w:hAnsi="宋体" w:cs="宋体"/>
          <w:bCs/>
          <w:color w:val="auto"/>
          <w:sz w:val="24"/>
          <w:szCs w:val="24"/>
          <w:highlight w:val="none"/>
          <w:u w:val="single"/>
        </w:rPr>
        <w:t xml:space="preserve">  </w:t>
      </w:r>
      <w:r>
        <w:rPr>
          <w:rFonts w:hint="eastAsia" w:hAnsi="宋体" w:cs="宋体"/>
          <w:bCs/>
          <w:color w:val="auto"/>
          <w:sz w:val="24"/>
          <w:szCs w:val="24"/>
          <w:highlight w:val="none"/>
          <w:u w:val="single"/>
          <w:lang w:val="en-US" w:eastAsia="zh-CN"/>
        </w:rPr>
        <w:t xml:space="preserve">     </w:t>
      </w:r>
      <w:r>
        <w:rPr>
          <w:rFonts w:hint="eastAsia" w:hAnsi="宋体" w:cs="宋体"/>
          <w:bCs/>
          <w:color w:val="auto"/>
          <w:sz w:val="24"/>
          <w:szCs w:val="24"/>
          <w:highlight w:val="none"/>
          <w:u w:val="single"/>
        </w:rPr>
        <w:t xml:space="preserve">    </w:t>
      </w:r>
      <w:r>
        <w:rPr>
          <w:rFonts w:hint="eastAsia" w:hAnsi="宋体"/>
          <w:color w:val="auto"/>
          <w:sz w:val="24"/>
          <w:szCs w:val="24"/>
          <w:highlight w:val="none"/>
        </w:rPr>
        <w:t>元</w:t>
      </w:r>
      <w:r>
        <w:rPr>
          <w:rFonts w:hint="eastAsia" w:hAnsi="宋体"/>
          <w:bCs/>
          <w:color w:val="auto"/>
          <w:sz w:val="24"/>
          <w:szCs w:val="24"/>
          <w:highlight w:val="none"/>
        </w:rPr>
        <w:t>整</w:t>
      </w:r>
      <w:r>
        <w:rPr>
          <w:rFonts w:hint="eastAsia" w:hAnsi="宋体" w:cs="宋体"/>
          <w:bCs/>
          <w:color w:val="auto"/>
          <w:sz w:val="24"/>
          <w:szCs w:val="24"/>
          <w:highlight w:val="none"/>
        </w:rPr>
        <w:t>(¥</w:t>
      </w:r>
      <w:r>
        <w:rPr>
          <w:rFonts w:hint="eastAsia" w:hAnsi="宋体" w:cs="宋体"/>
          <w:bCs/>
          <w:color w:val="auto"/>
          <w:sz w:val="24"/>
          <w:szCs w:val="24"/>
          <w:highlight w:val="none"/>
          <w:u w:val="single"/>
        </w:rPr>
        <w:t xml:space="preserve">          </w:t>
      </w:r>
      <w:r>
        <w:rPr>
          <w:rFonts w:hint="eastAsia" w:hAnsi="宋体" w:cs="宋体"/>
          <w:color w:val="auto"/>
          <w:sz w:val="24"/>
          <w:szCs w:val="24"/>
          <w:highlight w:val="none"/>
        </w:rPr>
        <w:t>万</w:t>
      </w:r>
      <w:r>
        <w:rPr>
          <w:rFonts w:hint="eastAsia" w:hAnsi="宋体" w:cs="宋体"/>
          <w:bCs/>
          <w:color w:val="auto"/>
          <w:sz w:val="24"/>
          <w:szCs w:val="24"/>
          <w:highlight w:val="none"/>
        </w:rPr>
        <w:t>元)提供以下货物和服务</w:t>
      </w:r>
      <w:r>
        <w:rPr>
          <w:rFonts w:hint="eastAsia" w:hAnsi="宋体" w:cs="宋体"/>
          <w:bCs/>
          <w:color w:val="auto"/>
          <w:sz w:val="24"/>
          <w:szCs w:val="24"/>
          <w:highlight w:val="none"/>
          <w:shd w:val="clear" w:color="auto" w:fill="auto"/>
        </w:rPr>
        <w:t>（到货安装验收乙方须提供等额发票）。</w:t>
      </w:r>
    </w:p>
    <w:p w14:paraId="05CF81AE">
      <w:pPr>
        <w:spacing w:line="360" w:lineRule="auto"/>
        <w:jc w:val="left"/>
        <w:rPr>
          <w:color w:val="auto"/>
          <w:highlight w:val="none"/>
          <w:shd w:val="clear" w:color="auto" w:fill="auto"/>
        </w:rPr>
      </w:pPr>
      <w:r>
        <w:rPr>
          <w:rFonts w:hint="eastAsia" w:hAnsi="宋体" w:cs="宋体"/>
          <w:b/>
          <w:bCs/>
          <w:color w:val="auto"/>
          <w:sz w:val="24"/>
          <w:szCs w:val="24"/>
          <w:highlight w:val="none"/>
          <w:shd w:val="clear" w:color="auto" w:fill="auto"/>
        </w:rPr>
        <w:t>第二条 设备</w:t>
      </w:r>
    </w:p>
    <w:tbl>
      <w:tblPr>
        <w:tblStyle w:val="7"/>
        <w:tblW w:w="9371" w:type="dxa"/>
        <w:jc w:val="center"/>
        <w:tblLayout w:type="fixed"/>
        <w:tblCellMar>
          <w:top w:w="0" w:type="dxa"/>
          <w:left w:w="0" w:type="dxa"/>
          <w:bottom w:w="0" w:type="dxa"/>
          <w:right w:w="0" w:type="dxa"/>
        </w:tblCellMar>
      </w:tblPr>
      <w:tblGrid>
        <w:gridCol w:w="810"/>
        <w:gridCol w:w="1179"/>
        <w:gridCol w:w="1200"/>
        <w:gridCol w:w="1125"/>
        <w:gridCol w:w="1281"/>
        <w:gridCol w:w="645"/>
        <w:gridCol w:w="630"/>
        <w:gridCol w:w="855"/>
        <w:gridCol w:w="945"/>
        <w:gridCol w:w="701"/>
      </w:tblGrid>
      <w:tr w14:paraId="0E35E4B3">
        <w:tblPrEx>
          <w:tblCellMar>
            <w:top w:w="0" w:type="dxa"/>
            <w:left w:w="0" w:type="dxa"/>
            <w:bottom w:w="0" w:type="dxa"/>
            <w:right w:w="0" w:type="dxa"/>
          </w:tblCellMar>
        </w:tblPrEx>
        <w:trPr>
          <w:trHeight w:val="686" w:hRule="atLeast"/>
          <w:jc w:val="center"/>
        </w:trPr>
        <w:tc>
          <w:tcPr>
            <w:tcW w:w="810" w:type="dxa"/>
            <w:tcBorders>
              <w:top w:val="single" w:color="000000" w:sz="8" w:space="0"/>
              <w:left w:val="single" w:color="000000" w:sz="8" w:space="0"/>
              <w:bottom w:val="single" w:color="000000" w:sz="8" w:space="0"/>
              <w:right w:val="single" w:color="000000" w:sz="8" w:space="0"/>
            </w:tcBorders>
            <w:noWrap w:val="0"/>
            <w:tcMar>
              <w:top w:w="15" w:type="dxa"/>
              <w:left w:w="15" w:type="dxa"/>
              <w:right w:w="15" w:type="dxa"/>
            </w:tcMar>
            <w:vAlign w:val="center"/>
          </w:tcPr>
          <w:p w14:paraId="52FFC166">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设备所在科室</w:t>
            </w:r>
          </w:p>
        </w:tc>
        <w:tc>
          <w:tcPr>
            <w:tcW w:w="1179"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31908E07">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产品通用名称</w:t>
            </w:r>
          </w:p>
        </w:tc>
        <w:tc>
          <w:tcPr>
            <w:tcW w:w="1200" w:type="dxa"/>
            <w:tcBorders>
              <w:top w:val="single" w:color="000000" w:sz="8" w:space="0"/>
              <w:left w:val="nil"/>
              <w:bottom w:val="single" w:color="000000" w:sz="8" w:space="0"/>
              <w:right w:val="single" w:color="auto" w:sz="4" w:space="0"/>
            </w:tcBorders>
            <w:noWrap w:val="0"/>
            <w:vAlign w:val="center"/>
          </w:tcPr>
          <w:p w14:paraId="3EE6D46B">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产品注册证名称</w:t>
            </w:r>
          </w:p>
        </w:tc>
        <w:tc>
          <w:tcPr>
            <w:tcW w:w="1125" w:type="dxa"/>
            <w:tcBorders>
              <w:top w:val="single" w:color="auto" w:sz="4" w:space="0"/>
              <w:left w:val="single" w:color="auto" w:sz="4" w:space="0"/>
              <w:bottom w:val="single" w:color="000000" w:sz="8" w:space="0"/>
              <w:right w:val="single" w:color="auto" w:sz="4" w:space="0"/>
            </w:tcBorders>
            <w:noWrap w:val="0"/>
            <w:tcMar>
              <w:top w:w="15" w:type="dxa"/>
              <w:left w:w="15" w:type="dxa"/>
              <w:right w:w="15" w:type="dxa"/>
            </w:tcMar>
            <w:vAlign w:val="center"/>
          </w:tcPr>
          <w:p w14:paraId="2B610A2F">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生产厂家及</w:t>
            </w:r>
            <w:r>
              <w:rPr>
                <w:rStyle w:val="9"/>
                <w:rFonts w:hint="default"/>
                <w:color w:val="auto"/>
                <w:sz w:val="22"/>
                <w:szCs w:val="22"/>
                <w:highlight w:val="none"/>
                <w:shd w:val="clear" w:color="auto" w:fill="auto"/>
              </w:rPr>
              <w:t>产地</w:t>
            </w:r>
          </w:p>
        </w:tc>
        <w:tc>
          <w:tcPr>
            <w:tcW w:w="1281" w:type="dxa"/>
            <w:tcBorders>
              <w:top w:val="single" w:color="000000" w:sz="8" w:space="0"/>
              <w:left w:val="single" w:color="auto" w:sz="4" w:space="0"/>
              <w:bottom w:val="single" w:color="000000" w:sz="8" w:space="0"/>
              <w:right w:val="single" w:color="000000" w:sz="8" w:space="0"/>
            </w:tcBorders>
            <w:noWrap w:val="0"/>
            <w:tcMar>
              <w:top w:w="15" w:type="dxa"/>
              <w:left w:w="15" w:type="dxa"/>
              <w:right w:w="15" w:type="dxa"/>
            </w:tcMar>
            <w:vAlign w:val="center"/>
          </w:tcPr>
          <w:p w14:paraId="33404E02">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品牌、规格、型号</w:t>
            </w:r>
          </w:p>
        </w:tc>
        <w:tc>
          <w:tcPr>
            <w:tcW w:w="64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7572A43A">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数量</w:t>
            </w:r>
          </w:p>
        </w:tc>
        <w:tc>
          <w:tcPr>
            <w:tcW w:w="630"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52B14687">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单位</w:t>
            </w:r>
          </w:p>
        </w:tc>
        <w:tc>
          <w:tcPr>
            <w:tcW w:w="85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65E37513">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单价</w:t>
            </w:r>
          </w:p>
          <w:p w14:paraId="32DB0A64">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(万元/台）</w:t>
            </w:r>
          </w:p>
        </w:tc>
        <w:tc>
          <w:tcPr>
            <w:tcW w:w="945"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694BCC0C">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合计</w:t>
            </w:r>
          </w:p>
          <w:p w14:paraId="776EE9C8">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（万元）</w:t>
            </w:r>
          </w:p>
        </w:tc>
        <w:tc>
          <w:tcPr>
            <w:tcW w:w="701" w:type="dxa"/>
            <w:tcBorders>
              <w:top w:val="single" w:color="000000" w:sz="8" w:space="0"/>
              <w:left w:val="nil"/>
              <w:bottom w:val="single" w:color="000000" w:sz="8" w:space="0"/>
              <w:right w:val="single" w:color="000000" w:sz="8" w:space="0"/>
            </w:tcBorders>
            <w:noWrap w:val="0"/>
            <w:tcMar>
              <w:top w:w="15" w:type="dxa"/>
              <w:left w:w="15" w:type="dxa"/>
              <w:right w:w="15" w:type="dxa"/>
            </w:tcMar>
            <w:vAlign w:val="center"/>
          </w:tcPr>
          <w:p w14:paraId="2B9C3443">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备注</w:t>
            </w:r>
          </w:p>
        </w:tc>
      </w:tr>
      <w:tr w14:paraId="20978B9B">
        <w:tblPrEx>
          <w:tblCellMar>
            <w:top w:w="0" w:type="dxa"/>
            <w:left w:w="0" w:type="dxa"/>
            <w:bottom w:w="0" w:type="dxa"/>
            <w:right w:w="0" w:type="dxa"/>
          </w:tblCellMar>
        </w:tblPrEx>
        <w:trPr>
          <w:trHeight w:val="279" w:hRule="atLeast"/>
          <w:jc w:val="center"/>
        </w:trPr>
        <w:tc>
          <w:tcPr>
            <w:tcW w:w="810"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2D26D7FB">
            <w:pPr>
              <w:widowControl/>
              <w:jc w:val="center"/>
              <w:textAlignment w:val="center"/>
              <w:rPr>
                <w:rFonts w:hAnsi="宋体" w:cs="宋体"/>
                <w:color w:val="auto"/>
                <w:sz w:val="22"/>
                <w:highlight w:val="none"/>
                <w:shd w:val="clear" w:color="auto" w:fill="auto"/>
              </w:rPr>
            </w:pPr>
          </w:p>
        </w:tc>
        <w:tc>
          <w:tcPr>
            <w:tcW w:w="1179" w:type="dxa"/>
            <w:tcBorders>
              <w:top w:val="nil"/>
              <w:left w:val="nil"/>
              <w:bottom w:val="single" w:color="000000" w:sz="8" w:space="0"/>
              <w:right w:val="single" w:color="000000" w:sz="8" w:space="0"/>
            </w:tcBorders>
            <w:noWrap w:val="0"/>
            <w:tcMar>
              <w:top w:w="15" w:type="dxa"/>
              <w:left w:w="15" w:type="dxa"/>
              <w:right w:w="15" w:type="dxa"/>
            </w:tcMar>
            <w:vAlign w:val="center"/>
          </w:tcPr>
          <w:p w14:paraId="1B07EE26">
            <w:pPr>
              <w:widowControl/>
              <w:jc w:val="center"/>
              <w:textAlignment w:val="center"/>
              <w:rPr>
                <w:rFonts w:hAnsi="宋体" w:cs="宋体"/>
                <w:color w:val="auto"/>
                <w:sz w:val="22"/>
                <w:highlight w:val="none"/>
                <w:shd w:val="clear" w:color="auto" w:fill="auto"/>
              </w:rPr>
            </w:pPr>
          </w:p>
        </w:tc>
        <w:tc>
          <w:tcPr>
            <w:tcW w:w="1200" w:type="dxa"/>
            <w:tcBorders>
              <w:top w:val="nil"/>
              <w:left w:val="nil"/>
              <w:bottom w:val="single" w:color="000000" w:sz="8" w:space="0"/>
              <w:right w:val="single" w:color="auto" w:sz="4" w:space="0"/>
            </w:tcBorders>
            <w:noWrap w:val="0"/>
            <w:vAlign w:val="center"/>
          </w:tcPr>
          <w:p w14:paraId="096E3870">
            <w:pPr>
              <w:widowControl/>
              <w:jc w:val="left"/>
              <w:textAlignment w:val="center"/>
              <w:rPr>
                <w:rFonts w:hAnsi="宋体" w:cs="宋体"/>
                <w:color w:val="auto"/>
                <w:sz w:val="22"/>
                <w:highlight w:val="none"/>
                <w:shd w:val="clear" w:color="auto" w:fill="auto"/>
              </w:rPr>
            </w:pPr>
          </w:p>
        </w:tc>
        <w:tc>
          <w:tcPr>
            <w:tcW w:w="1125" w:type="dxa"/>
            <w:tcBorders>
              <w:top w:val="nil"/>
              <w:left w:val="single" w:color="auto" w:sz="4" w:space="0"/>
              <w:bottom w:val="single" w:color="000000" w:sz="8" w:space="0"/>
              <w:right w:val="single" w:color="auto" w:sz="4" w:space="0"/>
            </w:tcBorders>
            <w:noWrap w:val="0"/>
            <w:tcMar>
              <w:top w:w="15" w:type="dxa"/>
              <w:left w:w="15" w:type="dxa"/>
              <w:right w:w="15" w:type="dxa"/>
            </w:tcMar>
            <w:vAlign w:val="center"/>
          </w:tcPr>
          <w:p w14:paraId="3A0D4A52">
            <w:pPr>
              <w:widowControl/>
              <w:jc w:val="center"/>
              <w:textAlignment w:val="center"/>
              <w:rPr>
                <w:rFonts w:hAnsi="宋体" w:cs="宋体"/>
                <w:color w:val="auto"/>
                <w:sz w:val="22"/>
                <w:highlight w:val="none"/>
                <w:shd w:val="clear" w:color="auto" w:fill="auto"/>
              </w:rPr>
            </w:pPr>
          </w:p>
        </w:tc>
        <w:tc>
          <w:tcPr>
            <w:tcW w:w="1281" w:type="dxa"/>
            <w:tcBorders>
              <w:top w:val="nil"/>
              <w:left w:val="single" w:color="auto" w:sz="4" w:space="0"/>
              <w:bottom w:val="single" w:color="000000" w:sz="8" w:space="0"/>
              <w:right w:val="single" w:color="000000" w:sz="8" w:space="0"/>
            </w:tcBorders>
            <w:noWrap w:val="0"/>
            <w:tcMar>
              <w:top w:w="15" w:type="dxa"/>
              <w:left w:w="15" w:type="dxa"/>
              <w:right w:w="15" w:type="dxa"/>
            </w:tcMar>
            <w:vAlign w:val="center"/>
          </w:tcPr>
          <w:p w14:paraId="24278059">
            <w:pPr>
              <w:widowControl/>
              <w:textAlignment w:val="center"/>
              <w:rPr>
                <w:rFonts w:hAnsi="宋体" w:cs="宋体"/>
                <w:color w:val="auto"/>
                <w:sz w:val="22"/>
                <w:highlight w:val="none"/>
                <w:shd w:val="clear" w:color="auto" w:fill="auto"/>
              </w:rPr>
            </w:pPr>
          </w:p>
        </w:tc>
        <w:tc>
          <w:tcPr>
            <w:tcW w:w="645" w:type="dxa"/>
            <w:tcBorders>
              <w:top w:val="nil"/>
              <w:left w:val="nil"/>
              <w:bottom w:val="single" w:color="000000" w:sz="8" w:space="0"/>
              <w:right w:val="single" w:color="000000" w:sz="8" w:space="0"/>
            </w:tcBorders>
            <w:noWrap w:val="0"/>
            <w:tcMar>
              <w:top w:w="15" w:type="dxa"/>
              <w:left w:w="15" w:type="dxa"/>
              <w:right w:w="15" w:type="dxa"/>
            </w:tcMar>
            <w:vAlign w:val="center"/>
          </w:tcPr>
          <w:p w14:paraId="4321F61C">
            <w:pPr>
              <w:widowControl/>
              <w:jc w:val="center"/>
              <w:textAlignment w:val="center"/>
              <w:rPr>
                <w:rFonts w:hAnsi="宋体" w:cs="宋体"/>
                <w:color w:val="auto"/>
                <w:sz w:val="22"/>
                <w:highlight w:val="none"/>
                <w:shd w:val="clear" w:color="auto" w:fill="auto"/>
              </w:rPr>
            </w:pPr>
          </w:p>
        </w:tc>
        <w:tc>
          <w:tcPr>
            <w:tcW w:w="630" w:type="dxa"/>
            <w:tcBorders>
              <w:top w:val="nil"/>
              <w:left w:val="nil"/>
              <w:bottom w:val="single" w:color="000000" w:sz="8" w:space="0"/>
              <w:right w:val="single" w:color="000000" w:sz="8" w:space="0"/>
            </w:tcBorders>
            <w:noWrap w:val="0"/>
            <w:tcMar>
              <w:top w:w="15" w:type="dxa"/>
              <w:left w:w="15" w:type="dxa"/>
              <w:right w:w="15" w:type="dxa"/>
            </w:tcMar>
            <w:vAlign w:val="center"/>
          </w:tcPr>
          <w:p w14:paraId="3B3BC5C2">
            <w:pPr>
              <w:widowControl/>
              <w:jc w:val="center"/>
              <w:textAlignment w:val="center"/>
              <w:rPr>
                <w:rFonts w:hAnsi="宋体" w:cs="宋体"/>
                <w:color w:val="auto"/>
                <w:sz w:val="22"/>
                <w:highlight w:val="none"/>
                <w:shd w:val="clear" w:color="auto" w:fill="auto"/>
              </w:rPr>
            </w:pPr>
          </w:p>
        </w:tc>
        <w:tc>
          <w:tcPr>
            <w:tcW w:w="855" w:type="dxa"/>
            <w:tcBorders>
              <w:top w:val="nil"/>
              <w:left w:val="nil"/>
              <w:bottom w:val="single" w:color="000000" w:sz="8" w:space="0"/>
              <w:right w:val="single" w:color="000000" w:sz="8" w:space="0"/>
            </w:tcBorders>
            <w:noWrap w:val="0"/>
            <w:tcMar>
              <w:top w:w="15" w:type="dxa"/>
              <w:left w:w="15" w:type="dxa"/>
              <w:right w:w="15" w:type="dxa"/>
            </w:tcMar>
            <w:vAlign w:val="center"/>
          </w:tcPr>
          <w:p w14:paraId="44D2FEDD">
            <w:pPr>
              <w:widowControl/>
              <w:jc w:val="center"/>
              <w:textAlignment w:val="center"/>
              <w:rPr>
                <w:rFonts w:hAnsi="宋体" w:cs="宋体"/>
                <w:color w:val="auto"/>
                <w:sz w:val="22"/>
                <w:highlight w:val="none"/>
                <w:shd w:val="clear" w:color="auto" w:fill="auto"/>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4FE78E2">
            <w:pPr>
              <w:widowControl/>
              <w:jc w:val="center"/>
              <w:textAlignment w:val="center"/>
              <w:rPr>
                <w:rFonts w:hAnsi="宋体" w:cs="宋体"/>
                <w:color w:val="auto"/>
                <w:sz w:val="22"/>
                <w:highlight w:val="none"/>
                <w:shd w:val="clear" w:color="auto" w:fill="auto"/>
              </w:rPr>
            </w:pPr>
          </w:p>
        </w:tc>
        <w:tc>
          <w:tcPr>
            <w:tcW w:w="701" w:type="dxa"/>
            <w:tcBorders>
              <w:top w:val="nil"/>
              <w:left w:val="nil"/>
              <w:bottom w:val="single" w:color="000000" w:sz="8" w:space="0"/>
              <w:right w:val="single" w:color="000000" w:sz="8" w:space="0"/>
            </w:tcBorders>
            <w:noWrap w:val="0"/>
            <w:tcMar>
              <w:top w:w="15" w:type="dxa"/>
              <w:left w:w="15" w:type="dxa"/>
              <w:right w:w="15" w:type="dxa"/>
            </w:tcMar>
            <w:vAlign w:val="center"/>
          </w:tcPr>
          <w:p w14:paraId="38BDC330">
            <w:pPr>
              <w:pStyle w:val="4"/>
              <w:jc w:val="center"/>
              <w:rPr>
                <w:color w:val="auto"/>
                <w:sz w:val="20"/>
                <w:szCs w:val="22"/>
                <w:highlight w:val="none"/>
                <w:shd w:val="clear" w:color="auto" w:fill="auto"/>
              </w:rPr>
            </w:pPr>
          </w:p>
        </w:tc>
      </w:tr>
      <w:tr w14:paraId="71B4CF21">
        <w:tblPrEx>
          <w:tblCellMar>
            <w:top w:w="0" w:type="dxa"/>
            <w:left w:w="0" w:type="dxa"/>
            <w:bottom w:w="0" w:type="dxa"/>
            <w:right w:w="0" w:type="dxa"/>
          </w:tblCellMar>
        </w:tblPrEx>
        <w:trPr>
          <w:trHeight w:val="399" w:hRule="atLeast"/>
          <w:jc w:val="center"/>
        </w:trPr>
        <w:tc>
          <w:tcPr>
            <w:tcW w:w="810"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52607819">
            <w:pPr>
              <w:widowControl/>
              <w:jc w:val="center"/>
              <w:textAlignment w:val="center"/>
              <w:rPr>
                <w:rFonts w:hAnsi="宋体" w:cs="宋体"/>
                <w:color w:val="auto"/>
                <w:sz w:val="22"/>
                <w:highlight w:val="none"/>
                <w:shd w:val="clear" w:color="auto" w:fill="auto"/>
              </w:rPr>
            </w:pPr>
          </w:p>
        </w:tc>
        <w:tc>
          <w:tcPr>
            <w:tcW w:w="1179" w:type="dxa"/>
            <w:tcBorders>
              <w:top w:val="nil"/>
              <w:left w:val="nil"/>
              <w:bottom w:val="single" w:color="000000" w:sz="8" w:space="0"/>
              <w:right w:val="single" w:color="000000" w:sz="8" w:space="0"/>
            </w:tcBorders>
            <w:noWrap w:val="0"/>
            <w:tcMar>
              <w:top w:w="15" w:type="dxa"/>
              <w:left w:w="15" w:type="dxa"/>
              <w:right w:w="15" w:type="dxa"/>
            </w:tcMar>
            <w:vAlign w:val="center"/>
          </w:tcPr>
          <w:p w14:paraId="5118DA02">
            <w:pPr>
              <w:widowControl/>
              <w:jc w:val="center"/>
              <w:textAlignment w:val="center"/>
              <w:rPr>
                <w:rFonts w:hAnsi="宋体" w:cs="宋体"/>
                <w:color w:val="auto"/>
                <w:sz w:val="22"/>
                <w:highlight w:val="none"/>
                <w:shd w:val="clear" w:color="auto" w:fill="auto"/>
              </w:rPr>
            </w:pPr>
          </w:p>
        </w:tc>
        <w:tc>
          <w:tcPr>
            <w:tcW w:w="1200" w:type="dxa"/>
            <w:tcBorders>
              <w:top w:val="nil"/>
              <w:left w:val="nil"/>
              <w:bottom w:val="single" w:color="000000" w:sz="8" w:space="0"/>
              <w:right w:val="single" w:color="auto" w:sz="4" w:space="0"/>
            </w:tcBorders>
            <w:noWrap w:val="0"/>
            <w:vAlign w:val="center"/>
          </w:tcPr>
          <w:p w14:paraId="6445CD99">
            <w:pPr>
              <w:widowControl/>
              <w:jc w:val="left"/>
              <w:textAlignment w:val="center"/>
              <w:rPr>
                <w:rFonts w:hAnsi="宋体" w:cs="宋体"/>
                <w:color w:val="auto"/>
                <w:sz w:val="22"/>
                <w:highlight w:val="none"/>
                <w:shd w:val="clear" w:color="auto" w:fill="auto"/>
              </w:rPr>
            </w:pPr>
          </w:p>
        </w:tc>
        <w:tc>
          <w:tcPr>
            <w:tcW w:w="1125" w:type="dxa"/>
            <w:tcBorders>
              <w:top w:val="nil"/>
              <w:left w:val="single" w:color="auto" w:sz="4" w:space="0"/>
              <w:bottom w:val="single" w:color="000000" w:sz="8" w:space="0"/>
              <w:right w:val="single" w:color="auto" w:sz="4" w:space="0"/>
            </w:tcBorders>
            <w:noWrap w:val="0"/>
            <w:tcMar>
              <w:top w:w="15" w:type="dxa"/>
              <w:left w:w="15" w:type="dxa"/>
              <w:right w:w="15" w:type="dxa"/>
            </w:tcMar>
            <w:vAlign w:val="center"/>
          </w:tcPr>
          <w:p w14:paraId="0DE8D890">
            <w:pPr>
              <w:widowControl/>
              <w:jc w:val="center"/>
              <w:textAlignment w:val="center"/>
              <w:rPr>
                <w:rFonts w:hAnsi="宋体" w:cs="宋体"/>
                <w:color w:val="auto"/>
                <w:sz w:val="22"/>
                <w:highlight w:val="none"/>
                <w:shd w:val="clear" w:color="auto" w:fill="auto"/>
              </w:rPr>
            </w:pPr>
          </w:p>
        </w:tc>
        <w:tc>
          <w:tcPr>
            <w:tcW w:w="1281" w:type="dxa"/>
            <w:tcBorders>
              <w:top w:val="nil"/>
              <w:left w:val="single" w:color="auto" w:sz="4" w:space="0"/>
              <w:bottom w:val="single" w:color="000000" w:sz="8" w:space="0"/>
              <w:right w:val="single" w:color="000000" w:sz="8" w:space="0"/>
            </w:tcBorders>
            <w:noWrap w:val="0"/>
            <w:tcMar>
              <w:top w:w="15" w:type="dxa"/>
              <w:left w:w="15" w:type="dxa"/>
              <w:right w:w="15" w:type="dxa"/>
            </w:tcMar>
            <w:vAlign w:val="center"/>
          </w:tcPr>
          <w:p w14:paraId="04ADA071">
            <w:pPr>
              <w:widowControl/>
              <w:jc w:val="center"/>
              <w:textAlignment w:val="center"/>
              <w:rPr>
                <w:rFonts w:hAnsi="宋体" w:cs="宋体"/>
                <w:color w:val="auto"/>
                <w:sz w:val="22"/>
                <w:highlight w:val="none"/>
                <w:shd w:val="clear" w:color="auto" w:fill="auto"/>
              </w:rPr>
            </w:pPr>
          </w:p>
        </w:tc>
        <w:tc>
          <w:tcPr>
            <w:tcW w:w="645" w:type="dxa"/>
            <w:tcBorders>
              <w:top w:val="nil"/>
              <w:left w:val="nil"/>
              <w:bottom w:val="single" w:color="000000" w:sz="8" w:space="0"/>
              <w:right w:val="single" w:color="000000" w:sz="8" w:space="0"/>
            </w:tcBorders>
            <w:noWrap w:val="0"/>
            <w:tcMar>
              <w:top w:w="15" w:type="dxa"/>
              <w:left w:w="15" w:type="dxa"/>
              <w:right w:w="15" w:type="dxa"/>
            </w:tcMar>
            <w:vAlign w:val="center"/>
          </w:tcPr>
          <w:p w14:paraId="2AB697F6">
            <w:pPr>
              <w:widowControl/>
              <w:jc w:val="center"/>
              <w:textAlignment w:val="center"/>
              <w:rPr>
                <w:rFonts w:hAnsi="宋体" w:cs="宋体"/>
                <w:color w:val="auto"/>
                <w:sz w:val="22"/>
                <w:highlight w:val="none"/>
                <w:shd w:val="clear" w:color="auto" w:fill="auto"/>
              </w:rPr>
            </w:pPr>
          </w:p>
        </w:tc>
        <w:tc>
          <w:tcPr>
            <w:tcW w:w="630" w:type="dxa"/>
            <w:tcBorders>
              <w:top w:val="nil"/>
              <w:left w:val="nil"/>
              <w:bottom w:val="single" w:color="000000" w:sz="8" w:space="0"/>
              <w:right w:val="single" w:color="000000" w:sz="8" w:space="0"/>
            </w:tcBorders>
            <w:noWrap w:val="0"/>
            <w:tcMar>
              <w:top w:w="15" w:type="dxa"/>
              <w:left w:w="15" w:type="dxa"/>
              <w:right w:w="15" w:type="dxa"/>
            </w:tcMar>
            <w:vAlign w:val="center"/>
          </w:tcPr>
          <w:p w14:paraId="2109DDFC">
            <w:pPr>
              <w:widowControl/>
              <w:jc w:val="center"/>
              <w:textAlignment w:val="center"/>
              <w:rPr>
                <w:rFonts w:hAnsi="宋体" w:cs="宋体"/>
                <w:color w:val="auto"/>
                <w:sz w:val="22"/>
                <w:highlight w:val="none"/>
                <w:shd w:val="clear" w:color="auto" w:fill="auto"/>
              </w:rPr>
            </w:pPr>
          </w:p>
        </w:tc>
        <w:tc>
          <w:tcPr>
            <w:tcW w:w="855" w:type="dxa"/>
            <w:tcBorders>
              <w:top w:val="nil"/>
              <w:left w:val="nil"/>
              <w:bottom w:val="single" w:color="000000" w:sz="8" w:space="0"/>
              <w:right w:val="single" w:color="000000" w:sz="8" w:space="0"/>
            </w:tcBorders>
            <w:noWrap w:val="0"/>
            <w:tcMar>
              <w:top w:w="15" w:type="dxa"/>
              <w:left w:w="15" w:type="dxa"/>
              <w:right w:w="15" w:type="dxa"/>
            </w:tcMar>
            <w:vAlign w:val="center"/>
          </w:tcPr>
          <w:p w14:paraId="00889514">
            <w:pPr>
              <w:widowControl/>
              <w:jc w:val="center"/>
              <w:textAlignment w:val="center"/>
              <w:rPr>
                <w:rFonts w:hAnsi="宋体" w:cs="宋体"/>
                <w:color w:val="auto"/>
                <w:sz w:val="22"/>
                <w:highlight w:val="none"/>
                <w:shd w:val="clear" w:color="auto" w:fill="auto"/>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6B6E9D1E">
            <w:pPr>
              <w:widowControl/>
              <w:jc w:val="center"/>
              <w:textAlignment w:val="center"/>
              <w:rPr>
                <w:rFonts w:hAnsi="宋体" w:cs="宋体"/>
                <w:color w:val="auto"/>
                <w:sz w:val="22"/>
                <w:highlight w:val="none"/>
                <w:shd w:val="clear" w:color="auto" w:fill="auto"/>
              </w:rPr>
            </w:pPr>
          </w:p>
        </w:tc>
        <w:tc>
          <w:tcPr>
            <w:tcW w:w="701" w:type="dxa"/>
            <w:tcBorders>
              <w:top w:val="nil"/>
              <w:left w:val="nil"/>
              <w:bottom w:val="single" w:color="000000" w:sz="8" w:space="0"/>
              <w:right w:val="single" w:color="000000" w:sz="8" w:space="0"/>
            </w:tcBorders>
            <w:noWrap w:val="0"/>
            <w:tcMar>
              <w:top w:w="15" w:type="dxa"/>
              <w:left w:w="15" w:type="dxa"/>
              <w:right w:w="15" w:type="dxa"/>
            </w:tcMar>
            <w:vAlign w:val="center"/>
          </w:tcPr>
          <w:p w14:paraId="2017C74A">
            <w:pPr>
              <w:pStyle w:val="4"/>
              <w:jc w:val="center"/>
              <w:rPr>
                <w:color w:val="auto"/>
                <w:sz w:val="20"/>
                <w:szCs w:val="22"/>
                <w:highlight w:val="none"/>
                <w:shd w:val="clear" w:color="auto" w:fill="auto"/>
              </w:rPr>
            </w:pPr>
          </w:p>
        </w:tc>
      </w:tr>
      <w:tr w14:paraId="7E2EB740">
        <w:tblPrEx>
          <w:tblCellMar>
            <w:top w:w="0" w:type="dxa"/>
            <w:left w:w="0" w:type="dxa"/>
            <w:bottom w:w="0" w:type="dxa"/>
            <w:right w:w="0" w:type="dxa"/>
          </w:tblCellMar>
        </w:tblPrEx>
        <w:trPr>
          <w:trHeight w:val="414" w:hRule="atLeast"/>
          <w:jc w:val="center"/>
        </w:trPr>
        <w:tc>
          <w:tcPr>
            <w:tcW w:w="810" w:type="dxa"/>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258BC133">
            <w:pPr>
              <w:widowControl/>
              <w:jc w:val="center"/>
              <w:textAlignment w:val="center"/>
              <w:rPr>
                <w:rFonts w:hAnsi="宋体" w:cs="宋体"/>
                <w:color w:val="auto"/>
                <w:sz w:val="22"/>
                <w:highlight w:val="none"/>
                <w:shd w:val="clear" w:color="auto" w:fill="auto"/>
              </w:rPr>
            </w:pPr>
          </w:p>
        </w:tc>
        <w:tc>
          <w:tcPr>
            <w:tcW w:w="1179" w:type="dxa"/>
            <w:tcBorders>
              <w:top w:val="nil"/>
              <w:left w:val="nil"/>
              <w:bottom w:val="single" w:color="000000" w:sz="8" w:space="0"/>
              <w:right w:val="single" w:color="000000" w:sz="8" w:space="0"/>
            </w:tcBorders>
            <w:noWrap w:val="0"/>
            <w:tcMar>
              <w:top w:w="15" w:type="dxa"/>
              <w:left w:w="15" w:type="dxa"/>
              <w:right w:w="15" w:type="dxa"/>
            </w:tcMar>
            <w:vAlign w:val="center"/>
          </w:tcPr>
          <w:p w14:paraId="73B109B8">
            <w:pPr>
              <w:widowControl/>
              <w:jc w:val="center"/>
              <w:textAlignment w:val="center"/>
              <w:rPr>
                <w:rFonts w:hAnsi="宋体" w:cs="宋体"/>
                <w:color w:val="auto"/>
                <w:sz w:val="22"/>
                <w:highlight w:val="none"/>
                <w:shd w:val="clear" w:color="auto" w:fill="auto"/>
              </w:rPr>
            </w:pPr>
          </w:p>
        </w:tc>
        <w:tc>
          <w:tcPr>
            <w:tcW w:w="1200" w:type="dxa"/>
            <w:tcBorders>
              <w:top w:val="nil"/>
              <w:left w:val="nil"/>
              <w:bottom w:val="single" w:color="000000" w:sz="8" w:space="0"/>
              <w:right w:val="single" w:color="auto" w:sz="4" w:space="0"/>
            </w:tcBorders>
            <w:noWrap w:val="0"/>
            <w:vAlign w:val="center"/>
          </w:tcPr>
          <w:p w14:paraId="6D1B5C36">
            <w:pPr>
              <w:widowControl/>
              <w:jc w:val="center"/>
              <w:textAlignment w:val="center"/>
              <w:rPr>
                <w:rFonts w:hAnsi="宋体" w:cs="宋体"/>
                <w:color w:val="auto"/>
                <w:sz w:val="22"/>
                <w:highlight w:val="none"/>
                <w:shd w:val="clear" w:color="auto" w:fill="auto"/>
              </w:rPr>
            </w:pPr>
          </w:p>
        </w:tc>
        <w:tc>
          <w:tcPr>
            <w:tcW w:w="1125"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14:paraId="7C67E3B6">
            <w:pPr>
              <w:widowControl/>
              <w:jc w:val="center"/>
              <w:textAlignment w:val="center"/>
              <w:rPr>
                <w:rFonts w:hAnsi="宋体" w:cs="宋体"/>
                <w:color w:val="auto"/>
                <w:sz w:val="22"/>
                <w:highlight w:val="none"/>
                <w:shd w:val="clear" w:color="auto" w:fill="auto"/>
              </w:rPr>
            </w:pPr>
          </w:p>
        </w:tc>
        <w:tc>
          <w:tcPr>
            <w:tcW w:w="1281" w:type="dxa"/>
            <w:tcBorders>
              <w:top w:val="nil"/>
              <w:left w:val="single" w:color="auto" w:sz="4" w:space="0"/>
              <w:bottom w:val="single" w:color="000000" w:sz="8" w:space="0"/>
              <w:right w:val="single" w:color="000000" w:sz="8" w:space="0"/>
            </w:tcBorders>
            <w:noWrap w:val="0"/>
            <w:tcMar>
              <w:top w:w="15" w:type="dxa"/>
              <w:left w:w="15" w:type="dxa"/>
              <w:right w:w="15" w:type="dxa"/>
            </w:tcMar>
            <w:vAlign w:val="center"/>
          </w:tcPr>
          <w:p w14:paraId="5EEE3CBE">
            <w:pPr>
              <w:widowControl/>
              <w:textAlignment w:val="center"/>
              <w:rPr>
                <w:rFonts w:hAnsi="宋体" w:cs="宋体"/>
                <w:color w:val="auto"/>
                <w:sz w:val="22"/>
                <w:highlight w:val="none"/>
                <w:shd w:val="clear" w:color="auto" w:fill="auto"/>
              </w:rPr>
            </w:pPr>
          </w:p>
        </w:tc>
        <w:tc>
          <w:tcPr>
            <w:tcW w:w="645" w:type="dxa"/>
            <w:tcBorders>
              <w:top w:val="nil"/>
              <w:left w:val="nil"/>
              <w:bottom w:val="single" w:color="000000" w:sz="8" w:space="0"/>
              <w:right w:val="single" w:color="000000" w:sz="8" w:space="0"/>
            </w:tcBorders>
            <w:noWrap w:val="0"/>
            <w:tcMar>
              <w:top w:w="15" w:type="dxa"/>
              <w:left w:w="15" w:type="dxa"/>
              <w:right w:w="15" w:type="dxa"/>
            </w:tcMar>
            <w:vAlign w:val="center"/>
          </w:tcPr>
          <w:p w14:paraId="351CF784">
            <w:pPr>
              <w:widowControl/>
              <w:jc w:val="center"/>
              <w:textAlignment w:val="center"/>
              <w:rPr>
                <w:rFonts w:hAnsi="宋体" w:cs="宋体"/>
                <w:color w:val="auto"/>
                <w:sz w:val="22"/>
                <w:highlight w:val="none"/>
                <w:shd w:val="clear" w:color="auto" w:fill="auto"/>
              </w:rPr>
            </w:pPr>
          </w:p>
        </w:tc>
        <w:tc>
          <w:tcPr>
            <w:tcW w:w="630" w:type="dxa"/>
            <w:tcBorders>
              <w:top w:val="nil"/>
              <w:left w:val="nil"/>
              <w:bottom w:val="single" w:color="000000" w:sz="8" w:space="0"/>
              <w:right w:val="single" w:color="000000" w:sz="8" w:space="0"/>
            </w:tcBorders>
            <w:noWrap w:val="0"/>
            <w:tcMar>
              <w:top w:w="15" w:type="dxa"/>
              <w:left w:w="15" w:type="dxa"/>
              <w:right w:w="15" w:type="dxa"/>
            </w:tcMar>
            <w:vAlign w:val="center"/>
          </w:tcPr>
          <w:p w14:paraId="2547FAC0">
            <w:pPr>
              <w:widowControl/>
              <w:jc w:val="center"/>
              <w:textAlignment w:val="center"/>
              <w:rPr>
                <w:rFonts w:hAnsi="宋体" w:cs="宋体"/>
                <w:color w:val="auto"/>
                <w:sz w:val="22"/>
                <w:highlight w:val="none"/>
                <w:shd w:val="clear" w:color="auto" w:fill="auto"/>
              </w:rPr>
            </w:pPr>
          </w:p>
        </w:tc>
        <w:tc>
          <w:tcPr>
            <w:tcW w:w="855" w:type="dxa"/>
            <w:tcBorders>
              <w:top w:val="nil"/>
              <w:left w:val="nil"/>
              <w:bottom w:val="single" w:color="000000" w:sz="8" w:space="0"/>
              <w:right w:val="single" w:color="000000" w:sz="8" w:space="0"/>
            </w:tcBorders>
            <w:noWrap w:val="0"/>
            <w:tcMar>
              <w:top w:w="15" w:type="dxa"/>
              <w:left w:w="15" w:type="dxa"/>
              <w:right w:w="15" w:type="dxa"/>
            </w:tcMar>
            <w:vAlign w:val="center"/>
          </w:tcPr>
          <w:p w14:paraId="01996350">
            <w:pPr>
              <w:widowControl/>
              <w:jc w:val="center"/>
              <w:textAlignment w:val="center"/>
              <w:rPr>
                <w:rFonts w:hAnsi="宋体" w:cs="宋体"/>
                <w:color w:val="auto"/>
                <w:sz w:val="22"/>
                <w:highlight w:val="none"/>
                <w:shd w:val="clear" w:color="auto" w:fill="auto"/>
              </w:rPr>
            </w:pPr>
          </w:p>
        </w:tc>
        <w:tc>
          <w:tcPr>
            <w:tcW w:w="945" w:type="dxa"/>
            <w:tcBorders>
              <w:top w:val="nil"/>
              <w:left w:val="nil"/>
              <w:bottom w:val="single" w:color="000000" w:sz="8" w:space="0"/>
              <w:right w:val="single" w:color="000000" w:sz="8" w:space="0"/>
            </w:tcBorders>
            <w:noWrap w:val="0"/>
            <w:tcMar>
              <w:top w:w="15" w:type="dxa"/>
              <w:left w:w="15" w:type="dxa"/>
              <w:right w:w="15" w:type="dxa"/>
            </w:tcMar>
            <w:vAlign w:val="center"/>
          </w:tcPr>
          <w:p w14:paraId="11DC4CD7">
            <w:pPr>
              <w:widowControl/>
              <w:jc w:val="center"/>
              <w:textAlignment w:val="center"/>
              <w:rPr>
                <w:rFonts w:hAnsi="宋体" w:cs="宋体"/>
                <w:color w:val="auto"/>
                <w:sz w:val="22"/>
                <w:highlight w:val="none"/>
                <w:shd w:val="clear" w:color="auto" w:fill="auto"/>
              </w:rPr>
            </w:pPr>
          </w:p>
        </w:tc>
        <w:tc>
          <w:tcPr>
            <w:tcW w:w="701" w:type="dxa"/>
            <w:tcBorders>
              <w:top w:val="nil"/>
              <w:left w:val="nil"/>
              <w:bottom w:val="single" w:color="000000" w:sz="8" w:space="0"/>
              <w:right w:val="single" w:color="000000" w:sz="8" w:space="0"/>
            </w:tcBorders>
            <w:noWrap w:val="0"/>
            <w:tcMar>
              <w:top w:w="15" w:type="dxa"/>
              <w:left w:w="15" w:type="dxa"/>
              <w:right w:w="15" w:type="dxa"/>
            </w:tcMar>
            <w:vAlign w:val="center"/>
          </w:tcPr>
          <w:p w14:paraId="59231716">
            <w:pPr>
              <w:pStyle w:val="4"/>
              <w:jc w:val="center"/>
              <w:rPr>
                <w:color w:val="auto"/>
                <w:sz w:val="20"/>
                <w:szCs w:val="22"/>
                <w:highlight w:val="none"/>
                <w:shd w:val="clear" w:color="auto" w:fill="auto"/>
              </w:rPr>
            </w:pPr>
          </w:p>
        </w:tc>
      </w:tr>
      <w:tr w14:paraId="535B8050">
        <w:tblPrEx>
          <w:tblCellMar>
            <w:top w:w="0" w:type="dxa"/>
            <w:left w:w="0" w:type="dxa"/>
            <w:bottom w:w="0" w:type="dxa"/>
            <w:right w:w="0" w:type="dxa"/>
          </w:tblCellMar>
        </w:tblPrEx>
        <w:trPr>
          <w:trHeight w:val="353" w:hRule="atLeast"/>
          <w:jc w:val="center"/>
        </w:trPr>
        <w:tc>
          <w:tcPr>
            <w:tcW w:w="1989" w:type="dxa"/>
            <w:gridSpan w:val="2"/>
            <w:tcBorders>
              <w:top w:val="nil"/>
              <w:left w:val="single" w:color="000000" w:sz="8" w:space="0"/>
              <w:bottom w:val="single" w:color="000000" w:sz="8" w:space="0"/>
              <w:right w:val="single" w:color="000000" w:sz="8" w:space="0"/>
            </w:tcBorders>
            <w:noWrap w:val="0"/>
            <w:tcMar>
              <w:top w:w="15" w:type="dxa"/>
              <w:left w:w="15" w:type="dxa"/>
              <w:right w:w="15" w:type="dxa"/>
            </w:tcMar>
            <w:vAlign w:val="center"/>
          </w:tcPr>
          <w:p w14:paraId="73F11FDC">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总计</w:t>
            </w:r>
          </w:p>
        </w:tc>
        <w:tc>
          <w:tcPr>
            <w:tcW w:w="7382" w:type="dxa"/>
            <w:gridSpan w:val="8"/>
            <w:tcBorders>
              <w:top w:val="nil"/>
              <w:left w:val="nil"/>
              <w:bottom w:val="single" w:color="000000" w:sz="8" w:space="0"/>
              <w:right w:val="single" w:color="000000" w:sz="8" w:space="0"/>
            </w:tcBorders>
            <w:noWrap w:val="0"/>
            <w:vAlign w:val="top"/>
          </w:tcPr>
          <w:p w14:paraId="3D24F444">
            <w:pPr>
              <w:widowControl/>
              <w:jc w:val="center"/>
              <w:textAlignment w:val="center"/>
              <w:rPr>
                <w:rFonts w:hAnsi="宋体" w:cs="宋体"/>
                <w:color w:val="auto"/>
                <w:sz w:val="22"/>
                <w:highlight w:val="none"/>
                <w:shd w:val="clear" w:color="auto" w:fill="auto"/>
              </w:rPr>
            </w:pPr>
            <w:r>
              <w:rPr>
                <w:rFonts w:hint="eastAsia" w:hAnsi="宋体" w:cs="宋体"/>
                <w:color w:val="auto"/>
                <w:sz w:val="22"/>
                <w:highlight w:val="none"/>
                <w:shd w:val="clear" w:color="auto" w:fill="auto"/>
              </w:rPr>
              <w:t>人民币（大写）：</w:t>
            </w:r>
            <w:r>
              <w:rPr>
                <w:rFonts w:hint="eastAsia" w:hAnsi="宋体" w:cs="宋体"/>
                <w:color w:val="auto"/>
                <w:sz w:val="22"/>
                <w:highlight w:val="none"/>
                <w:u w:val="single"/>
                <w:shd w:val="clear" w:color="auto" w:fill="auto"/>
              </w:rPr>
              <w:t xml:space="preserve">       </w:t>
            </w:r>
            <w:r>
              <w:rPr>
                <w:rFonts w:hint="eastAsia" w:hAnsi="宋体" w:cs="宋体"/>
                <w:color w:val="auto"/>
                <w:sz w:val="22"/>
                <w:highlight w:val="none"/>
                <w:shd w:val="clear" w:color="auto" w:fill="auto"/>
              </w:rPr>
              <w:t>元整(¥</w:t>
            </w:r>
            <w:r>
              <w:rPr>
                <w:rFonts w:hint="eastAsia" w:hAnsi="宋体" w:cs="宋体"/>
                <w:color w:val="auto"/>
                <w:sz w:val="22"/>
                <w:highlight w:val="none"/>
                <w:u w:val="single"/>
                <w:shd w:val="clear" w:color="auto" w:fill="auto"/>
              </w:rPr>
              <w:t xml:space="preserve">        </w:t>
            </w:r>
            <w:r>
              <w:rPr>
                <w:rFonts w:hint="eastAsia" w:hAnsi="宋体" w:cs="宋体"/>
                <w:color w:val="auto"/>
                <w:sz w:val="22"/>
                <w:highlight w:val="none"/>
                <w:shd w:val="clear" w:color="auto" w:fill="auto"/>
              </w:rPr>
              <w:t>万元)</w:t>
            </w:r>
          </w:p>
        </w:tc>
      </w:tr>
    </w:tbl>
    <w:p w14:paraId="67BDFFF6">
      <w:pPr>
        <w:spacing w:line="360" w:lineRule="auto"/>
        <w:rPr>
          <w:rFonts w:hAnsi="宋体" w:cs="宋体"/>
          <w:bCs/>
          <w:color w:val="auto"/>
          <w:sz w:val="24"/>
          <w:szCs w:val="24"/>
          <w:highlight w:val="none"/>
        </w:rPr>
      </w:pPr>
      <w:r>
        <w:rPr>
          <w:rFonts w:hint="eastAsia" w:hAnsi="宋体" w:cs="宋体"/>
          <w:color w:val="auto"/>
          <w:sz w:val="24"/>
          <w:szCs w:val="24"/>
          <w:highlight w:val="none"/>
          <w:shd w:val="clear" w:color="auto" w:fill="auto"/>
        </w:rPr>
        <w:t xml:space="preserve">    甲方对上述设备的型号、规格、配置、生产商、单价、数量、总价</w:t>
      </w:r>
      <w:r>
        <w:rPr>
          <w:rFonts w:hint="eastAsia" w:hAnsi="宋体" w:cs="宋体"/>
          <w:color w:val="auto"/>
          <w:sz w:val="24"/>
          <w:szCs w:val="24"/>
          <w:highlight w:val="none"/>
          <w:shd w:val="clear" w:color="auto" w:fill="auto"/>
          <w:lang w:eastAsia="zh-CN"/>
        </w:rPr>
        <w:t>进行</w:t>
      </w:r>
      <w:r>
        <w:rPr>
          <w:rFonts w:hint="eastAsia" w:hAnsi="宋体" w:cs="宋体"/>
          <w:color w:val="auto"/>
          <w:sz w:val="24"/>
          <w:szCs w:val="24"/>
          <w:highlight w:val="none"/>
          <w:shd w:val="clear" w:color="auto" w:fill="auto"/>
        </w:rPr>
        <w:t>确认，向乙方购买设备。</w:t>
      </w:r>
      <w:r>
        <w:rPr>
          <w:rFonts w:hint="eastAsia" w:hAnsi="宋体" w:cs="宋体"/>
          <w:bCs/>
          <w:color w:val="auto"/>
          <w:sz w:val="24"/>
          <w:szCs w:val="24"/>
          <w:highlight w:val="none"/>
        </w:rPr>
        <w:t>乙方保证所供设备及配件均为原厂出品的一年内全新合格产品，并完全符合国际通用标准及国家现行或行业规定的质量、技术标准、及性能要求。</w:t>
      </w:r>
    </w:p>
    <w:p w14:paraId="606A1602">
      <w:pPr>
        <w:numPr>
          <w:ilvl w:val="0"/>
          <w:numId w:val="2"/>
        </w:numPr>
        <w:spacing w:line="360" w:lineRule="auto"/>
        <w:jc w:val="left"/>
        <w:rPr>
          <w:rFonts w:hint="eastAsia" w:hAnsi="宋体" w:cs="宋体"/>
          <w:b/>
          <w:bCs/>
          <w:color w:val="auto"/>
          <w:sz w:val="24"/>
          <w:szCs w:val="24"/>
          <w:highlight w:val="none"/>
        </w:rPr>
      </w:pPr>
      <w:r>
        <w:rPr>
          <w:rFonts w:hint="eastAsia" w:hAnsi="宋体" w:cs="宋体"/>
          <w:b/>
          <w:bCs/>
          <w:color w:val="auto"/>
          <w:sz w:val="24"/>
          <w:szCs w:val="24"/>
          <w:highlight w:val="none"/>
        </w:rPr>
        <w:t xml:space="preserve"> 履约保证金</w:t>
      </w:r>
    </w:p>
    <w:p w14:paraId="4E5AD5DF">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金额：合同金额的5%，人民币大写：</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u w:val="single"/>
        </w:rPr>
        <w:t xml:space="preserve">    </w:t>
      </w:r>
      <w:r>
        <w:rPr>
          <w:rFonts w:hint="eastAsia" w:hAnsi="宋体" w:eastAsia="宋体" w:cs="宋体"/>
          <w:b w:val="0"/>
          <w:bCs/>
          <w:color w:val="auto"/>
          <w:sz w:val="24"/>
          <w:szCs w:val="24"/>
          <w:highlight w:val="none"/>
        </w:rPr>
        <w:t>元整，即RMB¥</w:t>
      </w:r>
      <w:r>
        <w:rPr>
          <w:rFonts w:hint="eastAsia" w:hAnsi="宋体" w:cs="宋体"/>
          <w:color w:val="auto"/>
          <w:sz w:val="24"/>
          <w:szCs w:val="24"/>
          <w:highlight w:val="none"/>
          <w:u w:val="single"/>
        </w:rPr>
        <w:t xml:space="preserve">          </w:t>
      </w:r>
      <w:r>
        <w:rPr>
          <w:rFonts w:hint="eastAsia" w:hAnsi="宋体" w:eastAsia="宋体" w:cs="宋体"/>
          <w:b w:val="0"/>
          <w:bCs/>
          <w:color w:val="auto"/>
          <w:sz w:val="24"/>
          <w:szCs w:val="24"/>
          <w:highlight w:val="none"/>
        </w:rPr>
        <w:t>元；</w:t>
      </w:r>
    </w:p>
    <w:p w14:paraId="14F2AF80">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交款方式：履约保证金可以以支票、汇票、本票或者金融机构出具的保函等非现金形式提交（包括网银转账，电汇等方式）。</w:t>
      </w:r>
    </w:p>
    <w:p w14:paraId="54C2A7D0">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收款单位：成都市第五人民医院</w:t>
      </w:r>
    </w:p>
    <w:p w14:paraId="6520AE00">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开 户 行：中信银行温江支行</w:t>
      </w:r>
    </w:p>
    <w:p w14:paraId="21B077FE">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银行账号：7412 4101 8260 0004 644</w:t>
      </w:r>
    </w:p>
    <w:p w14:paraId="5D89E7F3">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交款时间：中标、成交通知书发放后，政府采购合同签订前。</w:t>
      </w:r>
    </w:p>
    <w:p w14:paraId="78F836DA">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履约保证金退还方式：银行转账。</w:t>
      </w:r>
    </w:p>
    <w:p w14:paraId="5C8E53BB">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 xml:space="preserve">履约保证金退还时间：履约验收合格无异议，10日内无息退还。 </w:t>
      </w:r>
    </w:p>
    <w:p w14:paraId="6A0F2D89">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履约保证金不予退还情形：履约验收不合格。</w:t>
      </w:r>
    </w:p>
    <w:p w14:paraId="3260EF27">
      <w:pPr>
        <w:numPr>
          <w:ilvl w:val="0"/>
          <w:numId w:val="0"/>
        </w:numPr>
        <w:spacing w:line="360" w:lineRule="auto"/>
        <w:jc w:val="left"/>
        <w:rPr>
          <w:rFonts w:hint="eastAsia" w:hAnsi="宋体" w:eastAsia="宋体" w:cs="宋体"/>
          <w:b w:val="0"/>
          <w:bCs/>
          <w:color w:val="auto"/>
          <w:sz w:val="24"/>
          <w:szCs w:val="24"/>
          <w:highlight w:val="none"/>
        </w:rPr>
      </w:pPr>
      <w:r>
        <w:rPr>
          <w:rFonts w:hint="eastAsia" w:hAnsi="宋体" w:eastAsia="宋体" w:cs="宋体"/>
          <w:b w:val="0"/>
          <w:bCs/>
          <w:color w:val="auto"/>
          <w:sz w:val="24"/>
          <w:szCs w:val="24"/>
          <w:highlight w:val="none"/>
        </w:rPr>
        <w:t>履约保证金不予退还的，将按照有关规定上缴国库。逾期退还履约保证金的，将依法承担法律责任，并赔偿</w:t>
      </w:r>
      <w:r>
        <w:rPr>
          <w:rFonts w:hint="eastAsia" w:hAnsi="宋体" w:eastAsia="宋体" w:cs="宋体"/>
          <w:b w:val="0"/>
          <w:bCs/>
          <w:color w:val="auto"/>
          <w:sz w:val="24"/>
          <w:szCs w:val="24"/>
          <w:highlight w:val="none"/>
          <w:lang w:val="en-US" w:eastAsia="zh-CN"/>
        </w:rPr>
        <w:t>乙方</w:t>
      </w:r>
      <w:r>
        <w:rPr>
          <w:rFonts w:hint="eastAsia" w:hAnsi="宋体" w:eastAsia="宋体" w:cs="宋体"/>
          <w:b w:val="0"/>
          <w:bCs/>
          <w:color w:val="auto"/>
          <w:sz w:val="24"/>
          <w:szCs w:val="24"/>
          <w:highlight w:val="none"/>
        </w:rPr>
        <w:t>损失。</w:t>
      </w:r>
    </w:p>
    <w:p w14:paraId="371AE302">
      <w:pPr>
        <w:numPr>
          <w:ilvl w:val="0"/>
          <w:numId w:val="2"/>
        </w:numPr>
        <w:spacing w:line="360" w:lineRule="auto"/>
        <w:jc w:val="left"/>
        <w:rPr>
          <w:rFonts w:hAnsi="宋体" w:cs="宋体"/>
          <w:b/>
          <w:bCs/>
          <w:color w:val="auto"/>
          <w:sz w:val="24"/>
          <w:szCs w:val="24"/>
          <w:highlight w:val="none"/>
        </w:rPr>
      </w:pPr>
      <w:r>
        <w:rPr>
          <w:rFonts w:hint="eastAsia" w:hAnsi="宋体" w:cs="宋体"/>
          <w:b/>
          <w:bCs/>
          <w:color w:val="auto"/>
          <w:sz w:val="24"/>
          <w:szCs w:val="24"/>
          <w:highlight w:val="none"/>
        </w:rPr>
        <w:t>合同总价</w:t>
      </w:r>
    </w:p>
    <w:p w14:paraId="2C74835B">
      <w:pPr>
        <w:pStyle w:val="3"/>
        <w:spacing w:line="360" w:lineRule="auto"/>
        <w:ind w:firstLine="420" w:firstLineChars="175"/>
        <w:rPr>
          <w:rFonts w:hAnsi="宋体" w:cs="宋体"/>
          <w:bCs/>
          <w:color w:val="auto"/>
          <w:sz w:val="24"/>
          <w:szCs w:val="24"/>
          <w:highlight w:val="none"/>
        </w:rPr>
      </w:pPr>
      <w:r>
        <w:rPr>
          <w:rFonts w:hint="eastAsia" w:hAnsi="宋体" w:cs="宋体"/>
          <w:color w:val="auto"/>
          <w:sz w:val="24"/>
          <w:szCs w:val="24"/>
          <w:highlight w:val="none"/>
        </w:rPr>
        <w:t>合同总价为人民币大写：</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元整，即RMB¥</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元；该合同总价已包括货物设计、材料、制造、包装、运输、安装、调试、检测、验收合格交付使用之前及保修期内保修服务与备用物件等所有其他有关各项的含税费用。本项目采购的设备如需与</w:t>
      </w:r>
      <w:r>
        <w:rPr>
          <w:rFonts w:hint="eastAsia" w:hAnsi="宋体" w:cs="宋体"/>
          <w:color w:val="auto"/>
          <w:sz w:val="24"/>
          <w:szCs w:val="24"/>
          <w:highlight w:val="none"/>
          <w:lang w:val="en-US" w:eastAsia="zh-CN"/>
        </w:rPr>
        <w:t>甲方</w:t>
      </w:r>
      <w:r>
        <w:rPr>
          <w:rFonts w:hint="eastAsia" w:hAnsi="宋体" w:cs="宋体"/>
          <w:color w:val="auto"/>
          <w:sz w:val="24"/>
          <w:szCs w:val="24"/>
          <w:highlight w:val="none"/>
        </w:rPr>
        <w:t>现有的柯林布瑞HSB数据总线进行数据交互的，由</w:t>
      </w:r>
      <w:r>
        <w:rPr>
          <w:rFonts w:hint="eastAsia" w:hAnsi="宋体" w:cs="宋体"/>
          <w:color w:val="auto"/>
          <w:sz w:val="24"/>
          <w:szCs w:val="24"/>
          <w:highlight w:val="none"/>
          <w:lang w:val="en-US" w:eastAsia="zh-CN"/>
        </w:rPr>
        <w:t>乙方</w:t>
      </w:r>
      <w:r>
        <w:rPr>
          <w:rFonts w:hint="eastAsia" w:hAnsi="宋体" w:cs="宋体"/>
          <w:color w:val="auto"/>
          <w:sz w:val="24"/>
          <w:szCs w:val="24"/>
          <w:highlight w:val="none"/>
        </w:rPr>
        <w:t>负责与</w:t>
      </w:r>
      <w:r>
        <w:rPr>
          <w:rFonts w:hint="eastAsia" w:hAnsi="宋体" w:cs="宋体"/>
          <w:color w:val="auto"/>
          <w:sz w:val="24"/>
          <w:szCs w:val="24"/>
          <w:highlight w:val="none"/>
          <w:lang w:val="en-US" w:eastAsia="zh-CN"/>
        </w:rPr>
        <w:t>甲方</w:t>
      </w:r>
      <w:r>
        <w:rPr>
          <w:rFonts w:hint="eastAsia" w:hAnsi="宋体" w:cs="宋体"/>
          <w:color w:val="auto"/>
          <w:sz w:val="24"/>
          <w:szCs w:val="24"/>
          <w:highlight w:val="none"/>
        </w:rPr>
        <w:t>信息</w:t>
      </w:r>
      <w:r>
        <w:rPr>
          <w:rFonts w:hint="eastAsia" w:hAnsi="宋体" w:cs="宋体"/>
          <w:color w:val="auto"/>
          <w:sz w:val="24"/>
          <w:szCs w:val="24"/>
          <w:highlight w:val="none"/>
          <w:lang w:val="en-US" w:eastAsia="zh-CN"/>
        </w:rPr>
        <w:t>部门</w:t>
      </w:r>
      <w:r>
        <w:rPr>
          <w:rFonts w:hint="eastAsia" w:hAnsi="宋体" w:cs="宋体"/>
          <w:color w:val="auto"/>
          <w:sz w:val="24"/>
          <w:szCs w:val="24"/>
          <w:highlight w:val="none"/>
        </w:rPr>
        <w:t>对接工作，费用包含在</w:t>
      </w:r>
      <w:r>
        <w:rPr>
          <w:rFonts w:hint="eastAsia" w:hAnsi="宋体" w:cs="宋体"/>
          <w:color w:val="auto"/>
          <w:sz w:val="24"/>
          <w:szCs w:val="24"/>
          <w:highlight w:val="none"/>
          <w:lang w:val="en-US" w:eastAsia="zh-CN"/>
        </w:rPr>
        <w:t>本合同总价</w:t>
      </w:r>
      <w:r>
        <w:rPr>
          <w:rFonts w:hint="eastAsia" w:hAnsi="宋体" w:cs="宋体"/>
          <w:color w:val="auto"/>
          <w:sz w:val="24"/>
          <w:szCs w:val="24"/>
          <w:highlight w:val="none"/>
        </w:rPr>
        <w:t>中。本合同执行期间合同总价不变，甲方无须另向乙方支付本合同规定之外的其他任何费用。</w:t>
      </w:r>
    </w:p>
    <w:p w14:paraId="0CE720CC">
      <w:pPr>
        <w:spacing w:line="360" w:lineRule="auto"/>
        <w:jc w:val="left"/>
        <w:rPr>
          <w:rFonts w:hAnsi="宋体" w:cs="宋体"/>
          <w:b/>
          <w:bCs/>
          <w:color w:val="auto"/>
          <w:sz w:val="24"/>
          <w:szCs w:val="24"/>
          <w:highlight w:val="none"/>
        </w:rPr>
      </w:pPr>
      <w:r>
        <w:rPr>
          <w:rFonts w:hint="eastAsia" w:hAnsi="宋体" w:cs="宋体"/>
          <w:b/>
          <w:bCs/>
          <w:color w:val="auto"/>
          <w:sz w:val="24"/>
          <w:szCs w:val="24"/>
          <w:highlight w:val="none"/>
        </w:rPr>
        <w:t>第</w:t>
      </w:r>
      <w:r>
        <w:rPr>
          <w:rFonts w:hint="eastAsia" w:hAnsi="宋体" w:cs="宋体"/>
          <w:b/>
          <w:bCs/>
          <w:color w:val="auto"/>
          <w:sz w:val="24"/>
          <w:szCs w:val="24"/>
          <w:highlight w:val="none"/>
          <w:lang w:val="en-US" w:eastAsia="zh-CN"/>
        </w:rPr>
        <w:t>五</w:t>
      </w:r>
      <w:r>
        <w:rPr>
          <w:rFonts w:hint="eastAsia" w:hAnsi="宋体" w:cs="宋体"/>
          <w:b/>
          <w:bCs/>
          <w:color w:val="auto"/>
          <w:sz w:val="24"/>
          <w:szCs w:val="24"/>
          <w:highlight w:val="none"/>
        </w:rPr>
        <w:t>条  检测和测试以及产品质量</w:t>
      </w:r>
    </w:p>
    <w:p w14:paraId="755662C8">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1.设备验收在甲方的安装地点进行。在货物抵达甲方指定地点</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3</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日内，乙方人员应抵达甲方指定地点，依据乙方提供的装箱单、检验合格证书、使用说明及质量标准等有关资料，由</w:t>
      </w:r>
      <w:r>
        <w:rPr>
          <w:rFonts w:hint="eastAsia" w:hAnsi="宋体" w:cs="宋体"/>
          <w:color w:val="auto"/>
          <w:sz w:val="24"/>
          <w:szCs w:val="24"/>
          <w:highlight w:val="none"/>
          <w:lang w:val="en-US" w:eastAsia="zh-CN"/>
        </w:rPr>
        <w:t>甲乙</w:t>
      </w:r>
      <w:r>
        <w:rPr>
          <w:rFonts w:hint="eastAsia" w:hAnsi="宋体" w:cs="宋体"/>
          <w:color w:val="auto"/>
          <w:sz w:val="24"/>
          <w:szCs w:val="24"/>
          <w:highlight w:val="none"/>
        </w:rPr>
        <w:t>双方及相关人员共同开箱验收，如有短缺、规格质量不符、资料不全等，由乙方在甲方提出相关要求后</w:t>
      </w:r>
      <w:r>
        <w:rPr>
          <w:rFonts w:hint="eastAsia" w:hAnsi="宋体" w:cs="宋体"/>
          <w:color w:val="auto"/>
          <w:sz w:val="24"/>
          <w:szCs w:val="24"/>
          <w:highlight w:val="none"/>
          <w:u w:val="single"/>
        </w:rPr>
        <w:t xml:space="preserve">  7  </w:t>
      </w:r>
      <w:r>
        <w:rPr>
          <w:rFonts w:hint="eastAsia" w:hAnsi="宋体" w:cs="宋体"/>
          <w:color w:val="auto"/>
          <w:sz w:val="24"/>
          <w:szCs w:val="24"/>
          <w:highlight w:val="none"/>
        </w:rPr>
        <w:t>日内无偿给予更换、补齐，并承担由此产生的全部费用。在验收合格后，经双方代表签字予以确认。</w:t>
      </w:r>
    </w:p>
    <w:p w14:paraId="1ADE6243">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2.验收标准：按照招标文件中各方面技术指标、规格、性能以及生产厂家提供的正式技术文件或国家强制性标准进行验收。</w:t>
      </w:r>
    </w:p>
    <w:p w14:paraId="4063EF61">
      <w:pPr>
        <w:spacing w:line="360" w:lineRule="auto"/>
        <w:ind w:firstLine="480" w:firstLineChars="200"/>
        <w:rPr>
          <w:color w:val="auto"/>
          <w:highlight w:val="none"/>
        </w:rPr>
      </w:pPr>
      <w:r>
        <w:rPr>
          <w:rFonts w:hint="eastAsia" w:hAnsi="宋体" w:cs="宋体"/>
          <w:color w:val="auto"/>
          <w:sz w:val="24"/>
          <w:szCs w:val="24"/>
          <w:highlight w:val="none"/>
        </w:rPr>
        <w:t>3.附配置清单：设备送达时必须包括附件一、附件二中所列所有产品配置及易损件零配件，承诺所提供的配置清单项目完整，保证设备安装后能够正常使用。</w:t>
      </w:r>
    </w:p>
    <w:p w14:paraId="170F84EB">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4.无论甲方是否要求和是否知道，乙方均有义务主动及时地向甲方提供合同设备制造过程中出现的较大质量缺陷和问题，不得隐瞒。</w:t>
      </w:r>
    </w:p>
    <w:p w14:paraId="6B996C52">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5.无论甲方人员是否参与见证及出厂检验或甲方代表参加了见证与检验，并且签了制造与检验报告，均不能视为乙方按合同规定应承担的质量保证责任的解除，也不能免除乙方对设备质量应负的责任。</w:t>
      </w:r>
    </w:p>
    <w:p w14:paraId="6606339E">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6.乙方承诺提供给甲方的货物是合法购销渠道且符合国际通用标准及国家现行或行业规定的质量、技术、性能要求标准或/和其他质量约定的产品。凡因乙方产品质量问题，导致甲方无法正常使用或影响使用效果，或给病人造成精神损害或/和人身伤害，均由乙方承担全部法律责任。</w:t>
      </w:r>
    </w:p>
    <w:p w14:paraId="289B41AC">
      <w:pPr>
        <w:spacing w:line="360" w:lineRule="auto"/>
        <w:ind w:firstLine="480" w:firstLineChars="200"/>
        <w:rPr>
          <w:rFonts w:hAnsi="宋体" w:cs="宋体"/>
          <w:b/>
          <w:bCs/>
          <w:color w:val="auto"/>
          <w:sz w:val="24"/>
          <w:szCs w:val="24"/>
          <w:highlight w:val="none"/>
        </w:rPr>
      </w:pPr>
      <w:r>
        <w:rPr>
          <w:rFonts w:hint="eastAsia" w:hAnsi="宋体" w:cs="宋体"/>
          <w:color w:val="auto"/>
          <w:sz w:val="24"/>
          <w:szCs w:val="24"/>
          <w:highlight w:val="none"/>
        </w:rPr>
        <w:t>7.乙方应保证拥有</w:t>
      </w:r>
      <w:r>
        <w:rPr>
          <w:rFonts w:hint="eastAsia" w:hAnsi="宋体"/>
          <w:bCs/>
          <w:color w:val="auto"/>
          <w:sz w:val="24"/>
          <w:szCs w:val="24"/>
          <w:highlight w:val="none"/>
        </w:rPr>
        <w:t>交付</w:t>
      </w:r>
      <w:r>
        <w:rPr>
          <w:rFonts w:hint="eastAsia" w:hAnsi="宋体" w:cs="宋体"/>
          <w:bCs/>
          <w:color w:val="auto"/>
          <w:sz w:val="24"/>
          <w:szCs w:val="24"/>
          <w:highlight w:val="none"/>
        </w:rPr>
        <w:t>设</w:t>
      </w:r>
      <w:r>
        <w:rPr>
          <w:rFonts w:hint="eastAsia" w:hAnsi="宋体" w:cs="宋体"/>
          <w:color w:val="auto"/>
          <w:sz w:val="24"/>
          <w:szCs w:val="24"/>
          <w:highlight w:val="none"/>
        </w:rPr>
        <w:t>备</w:t>
      </w:r>
      <w:r>
        <w:rPr>
          <w:rFonts w:hint="eastAsia" w:hAnsi="宋体" w:cs="宋体"/>
          <w:b/>
          <w:color w:val="auto"/>
          <w:sz w:val="24"/>
          <w:szCs w:val="24"/>
          <w:highlight w:val="none"/>
        </w:rPr>
        <w:t>（</w:t>
      </w:r>
      <w:r>
        <w:rPr>
          <w:rFonts w:hint="eastAsia" w:hAnsi="宋体" w:cs="宋体"/>
          <w:color w:val="auto"/>
          <w:sz w:val="24"/>
          <w:szCs w:val="24"/>
          <w:highlight w:val="none"/>
        </w:rPr>
        <w:t>包括软件在内的</w:t>
      </w:r>
      <w:r>
        <w:rPr>
          <w:rFonts w:hint="eastAsia" w:hAnsi="宋体" w:cs="宋体"/>
          <w:b/>
          <w:color w:val="auto"/>
          <w:sz w:val="24"/>
          <w:szCs w:val="24"/>
          <w:highlight w:val="none"/>
        </w:rPr>
        <w:t>）</w:t>
      </w:r>
      <w:r>
        <w:rPr>
          <w:rFonts w:hint="eastAsia" w:hAnsi="宋体" w:cs="宋体"/>
          <w:color w:val="auto"/>
          <w:sz w:val="24"/>
          <w:szCs w:val="24"/>
          <w:highlight w:val="none"/>
        </w:rPr>
        <w:t>所有知识产权，</w:t>
      </w:r>
      <w:r>
        <w:rPr>
          <w:rFonts w:hint="eastAsia" w:hAnsi="宋体"/>
          <w:bCs/>
          <w:color w:val="auto"/>
          <w:sz w:val="24"/>
          <w:szCs w:val="24"/>
          <w:highlight w:val="none"/>
        </w:rPr>
        <w:t>且保证不侵犯第三人的知识产权及其他权利，</w:t>
      </w:r>
      <w:r>
        <w:rPr>
          <w:rFonts w:hint="eastAsia" w:hAnsi="宋体" w:cs="宋体"/>
          <w:bCs/>
          <w:color w:val="auto"/>
          <w:sz w:val="24"/>
          <w:szCs w:val="24"/>
          <w:highlight w:val="none"/>
        </w:rPr>
        <w:t>如有任何第三方就该设备所涉知识产权主张权利，乙方对此承担全部责任。</w:t>
      </w:r>
      <w:r>
        <w:rPr>
          <w:rFonts w:hint="eastAsia" w:hAnsi="宋体"/>
          <w:bCs/>
          <w:color w:val="auto"/>
          <w:sz w:val="24"/>
          <w:szCs w:val="24"/>
          <w:highlight w:val="none"/>
        </w:rPr>
        <w:t>如果由于乙方的原因导致甲方被第三方起诉或者追究侵权责任，乙方应向甲方承担赔偿责任</w:t>
      </w:r>
      <w:r>
        <w:rPr>
          <w:rFonts w:hint="eastAsia" w:hAnsi="宋体" w:cs="宋体"/>
          <w:b/>
          <w:color w:val="auto"/>
          <w:sz w:val="24"/>
          <w:szCs w:val="24"/>
          <w:highlight w:val="none"/>
        </w:rPr>
        <w:t>（</w:t>
      </w:r>
      <w:r>
        <w:rPr>
          <w:rFonts w:hint="eastAsia" w:hAnsi="宋体"/>
          <w:bCs/>
          <w:color w:val="auto"/>
          <w:sz w:val="24"/>
          <w:szCs w:val="24"/>
          <w:highlight w:val="none"/>
        </w:rPr>
        <w:t>赔偿责任计算方式：按照甲方向第三人支付的赔偿数额或者赔偿方式计算</w:t>
      </w:r>
      <w:r>
        <w:rPr>
          <w:rFonts w:hint="eastAsia" w:hAnsi="宋体" w:cs="宋体"/>
          <w:b/>
          <w:color w:val="auto"/>
          <w:sz w:val="24"/>
          <w:szCs w:val="24"/>
          <w:highlight w:val="none"/>
        </w:rPr>
        <w:t>）</w:t>
      </w:r>
      <w:r>
        <w:rPr>
          <w:rFonts w:hint="eastAsia" w:hAnsi="宋体"/>
          <w:bCs/>
          <w:color w:val="auto"/>
          <w:sz w:val="24"/>
          <w:szCs w:val="24"/>
          <w:highlight w:val="none"/>
        </w:rPr>
        <w:t>。</w:t>
      </w:r>
    </w:p>
    <w:p w14:paraId="6D0D5363">
      <w:pPr>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第</w:t>
      </w:r>
      <w:r>
        <w:rPr>
          <w:rFonts w:hint="eastAsia" w:hAnsi="宋体" w:cs="宋体"/>
          <w:b/>
          <w:bCs/>
          <w:color w:val="auto"/>
          <w:sz w:val="24"/>
          <w:szCs w:val="24"/>
          <w:highlight w:val="none"/>
          <w:lang w:val="en-US" w:eastAsia="zh-CN"/>
        </w:rPr>
        <w:t>六</w:t>
      </w:r>
      <w:r>
        <w:rPr>
          <w:rFonts w:hint="eastAsia" w:hAnsi="宋体" w:cs="宋体"/>
          <w:b/>
          <w:bCs/>
          <w:color w:val="auto"/>
          <w:sz w:val="24"/>
          <w:szCs w:val="24"/>
          <w:highlight w:val="none"/>
        </w:rPr>
        <w:t>条 包装</w:t>
      </w:r>
    </w:p>
    <w:p w14:paraId="4FF029AD">
      <w:pPr>
        <w:spacing w:line="360" w:lineRule="auto"/>
        <w:ind w:firstLine="480" w:firstLineChars="200"/>
        <w:rPr>
          <w:rFonts w:hint="eastAsia" w:hAnsi="宋体" w:eastAsia="宋体" w:cs="Times New Roman"/>
          <w:b w:val="0"/>
          <w:bCs/>
          <w:color w:val="auto"/>
          <w:sz w:val="24"/>
          <w:szCs w:val="24"/>
          <w:highlight w:val="none"/>
        </w:rPr>
      </w:pPr>
      <w:r>
        <w:rPr>
          <w:rFonts w:hint="eastAsia" w:hAnsi="宋体" w:eastAsia="宋体" w:cs="Times New Roman"/>
          <w:b w:val="0"/>
          <w:bCs/>
          <w:color w:val="auto"/>
          <w:sz w:val="24"/>
          <w:szCs w:val="24"/>
          <w:highlight w:val="none"/>
          <w:lang w:val="en-US" w:eastAsia="zh-CN"/>
        </w:rPr>
        <w:t>1.本合同</w:t>
      </w:r>
      <w:r>
        <w:rPr>
          <w:rFonts w:hint="eastAsia" w:hAnsi="宋体" w:eastAsia="宋体" w:cs="Times New Roman"/>
          <w:b w:val="0"/>
          <w:bCs/>
          <w:color w:val="auto"/>
          <w:sz w:val="24"/>
          <w:szCs w:val="24"/>
          <w:highlight w:val="none"/>
        </w:rPr>
        <w:t>涉及的</w:t>
      </w:r>
      <w:r>
        <w:rPr>
          <w:rFonts w:hint="eastAsia" w:hAnsi="宋体" w:eastAsia="宋体" w:cs="Times New Roman"/>
          <w:b w:val="0"/>
          <w:bCs/>
          <w:color w:val="auto"/>
          <w:sz w:val="24"/>
          <w:szCs w:val="24"/>
          <w:highlight w:val="none"/>
          <w:lang w:val="en-US" w:eastAsia="zh-CN"/>
        </w:rPr>
        <w:t>货物</w:t>
      </w:r>
      <w:r>
        <w:rPr>
          <w:rFonts w:hint="eastAsia" w:hAnsi="宋体" w:eastAsia="宋体" w:cs="Times New Roman"/>
          <w:b w:val="0"/>
          <w:bCs/>
          <w:color w:val="auto"/>
          <w:sz w:val="24"/>
          <w:szCs w:val="24"/>
          <w:highlight w:val="none"/>
        </w:rPr>
        <w:t>包装和快递包装，均应符合《商品包装政府采购需求标准（试行）》《快递包装政府采购需求标准（试行）》的要求执行。</w:t>
      </w:r>
    </w:p>
    <w:p w14:paraId="074216BC">
      <w:pPr>
        <w:spacing w:line="360" w:lineRule="auto"/>
        <w:ind w:firstLine="480" w:firstLineChars="200"/>
        <w:rPr>
          <w:rFonts w:hint="eastAsia" w:hAnsi="宋体" w:eastAsia="宋体" w:cs="Times New Roman"/>
          <w:b w:val="0"/>
          <w:bCs/>
          <w:color w:val="auto"/>
          <w:sz w:val="24"/>
          <w:szCs w:val="24"/>
          <w:highlight w:val="none"/>
        </w:rPr>
      </w:pPr>
      <w:r>
        <w:rPr>
          <w:rFonts w:hint="eastAsia" w:hAnsi="宋体" w:eastAsia="宋体" w:cs="Times New Roman"/>
          <w:b w:val="0"/>
          <w:bCs/>
          <w:color w:val="auto"/>
          <w:sz w:val="24"/>
          <w:szCs w:val="24"/>
          <w:highlight w:val="none"/>
          <w:lang w:val="en-US" w:eastAsia="zh-CN"/>
        </w:rPr>
        <w:t>2.乙方的设备包装应坚固完好，能抗御运输、储存和装卸过程中正常冲击，振动和挤压，并便于装卸和搬运。设备包装前检查包装材料的材质、规格和包装结构与所装产品的规格和重量相适应。组件包装时安全，防止撞击，包装表面应清洁。组件排放整齐，不可有高低不平。外包装箱表面不应该有突出的锁扣等装置，以避免箱体移位时发生拉挂等现象，影响箱体安全。</w:t>
      </w:r>
    </w:p>
    <w:p w14:paraId="184EF5B3">
      <w:pPr>
        <w:spacing w:line="360" w:lineRule="auto"/>
        <w:ind w:firstLine="480" w:firstLineChars="200"/>
        <w:rPr>
          <w:rFonts w:hint="eastAsia" w:hAnsi="宋体" w:eastAsia="宋体" w:cs="Times New Roman"/>
          <w:b w:val="0"/>
          <w:bCs/>
          <w:color w:val="auto"/>
          <w:sz w:val="24"/>
          <w:szCs w:val="24"/>
          <w:highlight w:val="none"/>
          <w:lang w:val="en-US" w:eastAsia="zh-CN"/>
        </w:rPr>
      </w:pPr>
      <w:r>
        <w:rPr>
          <w:rFonts w:hint="eastAsia" w:hAnsi="宋体" w:eastAsia="宋体" w:cs="Times New Roman"/>
          <w:b w:val="0"/>
          <w:bCs/>
          <w:color w:val="auto"/>
          <w:sz w:val="24"/>
          <w:szCs w:val="24"/>
          <w:highlight w:val="none"/>
          <w:lang w:val="en-US" w:eastAsia="zh-CN"/>
        </w:rPr>
        <w:t>3.在货物</w:t>
      </w:r>
      <w:r>
        <w:rPr>
          <w:rFonts w:hint="eastAsia" w:hAnsi="宋体" w:eastAsia="宋体" w:cs="宋体"/>
          <w:color w:val="auto"/>
          <w:sz w:val="24"/>
          <w:szCs w:val="24"/>
          <w:highlight w:val="none"/>
          <w:lang w:val="en-US" w:eastAsia="zh-CN"/>
        </w:rPr>
        <w:t>完成安装后，</w:t>
      </w:r>
      <w:r>
        <w:rPr>
          <w:rFonts w:ascii="宋体" w:hAnsi="宋体" w:eastAsia="宋体" w:cs="宋体"/>
          <w:color w:val="auto"/>
          <w:sz w:val="24"/>
          <w:szCs w:val="24"/>
          <w:highlight w:val="none"/>
        </w:rPr>
        <w:t>乙方</w:t>
      </w:r>
      <w:r>
        <w:rPr>
          <w:rFonts w:hint="eastAsia" w:hAnsi="宋体" w:eastAsia="宋体" w:cs="宋体"/>
          <w:color w:val="auto"/>
          <w:sz w:val="24"/>
          <w:szCs w:val="24"/>
          <w:highlight w:val="none"/>
          <w:lang w:val="en-US" w:eastAsia="zh-CN"/>
        </w:rPr>
        <w:t>应及时</w:t>
      </w:r>
      <w:r>
        <w:rPr>
          <w:rFonts w:ascii="宋体" w:hAnsi="宋体" w:eastAsia="宋体" w:cs="宋体"/>
          <w:color w:val="auto"/>
          <w:sz w:val="24"/>
          <w:szCs w:val="24"/>
          <w:highlight w:val="none"/>
        </w:rPr>
        <w:t>将</w:t>
      </w:r>
      <w:r>
        <w:rPr>
          <w:rFonts w:hint="eastAsia" w:hAnsi="宋体" w:eastAsia="宋体" w:cs="宋体"/>
          <w:color w:val="auto"/>
          <w:sz w:val="24"/>
          <w:szCs w:val="24"/>
          <w:highlight w:val="none"/>
          <w:lang w:val="en-US" w:eastAsia="zh-CN"/>
        </w:rPr>
        <w:t>货物涉及的</w:t>
      </w:r>
      <w:r>
        <w:rPr>
          <w:rFonts w:ascii="宋体" w:hAnsi="宋体" w:eastAsia="宋体" w:cs="宋体"/>
          <w:color w:val="auto"/>
          <w:sz w:val="24"/>
          <w:szCs w:val="24"/>
          <w:highlight w:val="none"/>
        </w:rPr>
        <w:t>包装物清理</w:t>
      </w:r>
      <w:r>
        <w:rPr>
          <w:rFonts w:hint="eastAsia" w:hAnsi="宋体" w:eastAsia="宋体" w:cs="宋体"/>
          <w:color w:val="auto"/>
          <w:sz w:val="24"/>
          <w:szCs w:val="24"/>
          <w:highlight w:val="none"/>
          <w:lang w:val="en-US" w:eastAsia="zh-CN"/>
        </w:rPr>
        <w:t>出场</w:t>
      </w:r>
      <w:r>
        <w:rPr>
          <w:rFonts w:hint="eastAsia" w:hAnsi="宋体" w:eastAsia="宋体" w:cs="宋体"/>
          <w:color w:val="auto"/>
          <w:sz w:val="24"/>
          <w:szCs w:val="24"/>
          <w:highlight w:val="none"/>
          <w:lang w:eastAsia="zh-CN"/>
        </w:rPr>
        <w:t>；</w:t>
      </w:r>
      <w:r>
        <w:rPr>
          <w:rFonts w:hint="eastAsia" w:hAnsi="宋体" w:eastAsia="宋体" w:cs="宋体"/>
          <w:color w:val="auto"/>
          <w:sz w:val="24"/>
          <w:szCs w:val="24"/>
          <w:highlight w:val="none"/>
          <w:lang w:val="en-US" w:eastAsia="zh-CN"/>
        </w:rPr>
        <w:t>逾期未清理的，甲方有权自行清理，因此产生的费用由乙方承担。甲方有权</w:t>
      </w:r>
      <w:r>
        <w:rPr>
          <w:rFonts w:ascii="宋体" w:hAnsi="宋体" w:eastAsia="宋体" w:cs="宋体"/>
          <w:color w:val="auto"/>
          <w:sz w:val="24"/>
          <w:szCs w:val="24"/>
          <w:highlight w:val="none"/>
        </w:rPr>
        <w:t>从</w:t>
      </w:r>
      <w:r>
        <w:rPr>
          <w:rFonts w:hint="eastAsia" w:hAnsi="宋体" w:eastAsia="宋体" w:cs="宋体"/>
          <w:color w:val="auto"/>
          <w:sz w:val="24"/>
          <w:szCs w:val="24"/>
          <w:highlight w:val="none"/>
          <w:lang w:val="en-US" w:eastAsia="zh-CN"/>
        </w:rPr>
        <w:t>应付</w:t>
      </w:r>
      <w:r>
        <w:rPr>
          <w:rFonts w:ascii="宋体" w:hAnsi="宋体" w:eastAsia="宋体" w:cs="宋体"/>
          <w:color w:val="auto"/>
          <w:sz w:val="24"/>
          <w:szCs w:val="24"/>
          <w:highlight w:val="none"/>
        </w:rPr>
        <w:t>货款中扣除</w:t>
      </w:r>
      <w:r>
        <w:rPr>
          <w:rFonts w:hint="eastAsia" w:hAnsi="宋体" w:eastAsia="宋体" w:cs="宋体"/>
          <w:color w:val="auto"/>
          <w:sz w:val="24"/>
          <w:szCs w:val="24"/>
          <w:highlight w:val="none"/>
          <w:lang w:val="en-US" w:eastAsia="zh-CN"/>
        </w:rPr>
        <w:t>2000元</w:t>
      </w:r>
      <w:r>
        <w:rPr>
          <w:rFonts w:ascii="宋体" w:hAnsi="宋体" w:eastAsia="宋体" w:cs="宋体"/>
          <w:color w:val="auto"/>
          <w:sz w:val="24"/>
          <w:szCs w:val="24"/>
          <w:highlight w:val="none"/>
        </w:rPr>
        <w:t>；</w:t>
      </w:r>
      <w:r>
        <w:rPr>
          <w:rFonts w:hint="eastAsia" w:hAnsi="宋体" w:eastAsia="宋体" w:cs="宋体"/>
          <w:color w:val="auto"/>
          <w:sz w:val="24"/>
          <w:szCs w:val="24"/>
          <w:highlight w:val="none"/>
          <w:lang w:val="en-US" w:eastAsia="zh-CN"/>
        </w:rPr>
        <w:t>若</w:t>
      </w:r>
      <w:r>
        <w:rPr>
          <w:rFonts w:ascii="宋体" w:hAnsi="宋体" w:eastAsia="宋体" w:cs="宋体"/>
          <w:color w:val="auto"/>
          <w:sz w:val="24"/>
          <w:szCs w:val="24"/>
          <w:highlight w:val="none"/>
        </w:rPr>
        <w:t>清理</w:t>
      </w:r>
      <w:r>
        <w:rPr>
          <w:rFonts w:hint="eastAsia" w:hAnsi="宋体" w:eastAsia="宋体" w:cs="宋体"/>
          <w:color w:val="auto"/>
          <w:sz w:val="24"/>
          <w:szCs w:val="24"/>
          <w:highlight w:val="none"/>
          <w:lang w:val="en-US" w:eastAsia="zh-CN"/>
        </w:rPr>
        <w:t>费用</w:t>
      </w:r>
      <w:r>
        <w:rPr>
          <w:rFonts w:ascii="宋体" w:hAnsi="宋体" w:eastAsia="宋体" w:cs="宋体"/>
          <w:color w:val="auto"/>
          <w:sz w:val="24"/>
          <w:szCs w:val="24"/>
          <w:highlight w:val="none"/>
        </w:rPr>
        <w:t>超过2000元，则以实际清理产生的费用为准。</w:t>
      </w:r>
    </w:p>
    <w:p w14:paraId="730137E2">
      <w:pPr>
        <w:spacing w:line="360" w:lineRule="auto"/>
        <w:rPr>
          <w:rFonts w:hint="eastAsia" w:hAnsi="宋体" w:cs="宋体"/>
          <w:b/>
          <w:bCs/>
          <w:color w:val="auto"/>
          <w:sz w:val="24"/>
          <w:szCs w:val="24"/>
          <w:highlight w:val="none"/>
        </w:rPr>
      </w:pPr>
      <w:r>
        <w:rPr>
          <w:rFonts w:hint="eastAsia" w:hAnsi="宋体" w:cs="宋体"/>
          <w:b/>
          <w:bCs/>
          <w:color w:val="auto"/>
          <w:sz w:val="24"/>
          <w:szCs w:val="24"/>
          <w:highlight w:val="none"/>
        </w:rPr>
        <w:t>第</w:t>
      </w:r>
      <w:r>
        <w:rPr>
          <w:rFonts w:hint="eastAsia" w:hAnsi="宋体" w:cs="宋体"/>
          <w:b/>
          <w:bCs/>
          <w:color w:val="auto"/>
          <w:sz w:val="24"/>
          <w:szCs w:val="24"/>
          <w:highlight w:val="none"/>
          <w:lang w:val="en-US" w:eastAsia="zh-CN"/>
        </w:rPr>
        <w:t>七</w:t>
      </w:r>
      <w:r>
        <w:rPr>
          <w:rFonts w:hint="eastAsia" w:hAnsi="宋体" w:cs="宋体"/>
          <w:b/>
          <w:bCs/>
          <w:color w:val="auto"/>
          <w:sz w:val="24"/>
          <w:szCs w:val="24"/>
          <w:highlight w:val="none"/>
        </w:rPr>
        <w:t>条 装运通知</w:t>
      </w:r>
    </w:p>
    <w:p w14:paraId="40ED3F1F">
      <w:pPr>
        <w:spacing w:line="360" w:lineRule="auto"/>
        <w:ind w:firstLine="480" w:firstLineChars="200"/>
        <w:rPr>
          <w:rFonts w:hint="eastAsia" w:ascii="宋体" w:hAnsi="宋体" w:eastAsia="宋体" w:cs="Times New Roman"/>
          <w:b w:val="0"/>
          <w:bCs/>
          <w:color w:val="auto"/>
          <w:sz w:val="24"/>
          <w:szCs w:val="24"/>
          <w:highlight w:val="none"/>
        </w:rPr>
      </w:pPr>
      <w:r>
        <w:rPr>
          <w:rFonts w:hint="eastAsia" w:ascii="宋体" w:hAnsi="宋体" w:eastAsia="宋体" w:cs="Times New Roman"/>
          <w:b w:val="0"/>
          <w:bCs/>
          <w:color w:val="auto"/>
          <w:sz w:val="24"/>
          <w:szCs w:val="24"/>
          <w:highlight w:val="none"/>
          <w:lang w:val="en-US" w:eastAsia="zh-CN"/>
        </w:rPr>
        <w:t>装运设备的运输工具应清洁、干燥、无污染物。敞车运输时，必须用防雨布盖好，以保证设备不被雨(雪)浸入。设备中转时，应堆放在库房内。短暂露天堆放时，必须用防雨布盖好，产品在装卸时，应采用合适的装卸方式，严防将包装箱(件)损坏，包装箱应注意谨慎堆放，防止产品碰伤。装载时，运输车辆与包装箱之间、包装箱之间应用防震减压的填充物填实，不得留有空隙，防止在运输途中造成货物之间互相碰撞、摩擦，避免发生箱体移位。避免货物在运载工具上的堆码不当，使底层货物承载过重，造成包装破损，甚至商品在运输过程中变形，损坏。在运输过程中避免接触腐蚀性物质。</w:t>
      </w:r>
    </w:p>
    <w:p w14:paraId="419CA37E">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第</w:t>
      </w:r>
      <w:r>
        <w:rPr>
          <w:rFonts w:hint="eastAsia" w:hAnsi="宋体" w:cs="宋体"/>
          <w:b/>
          <w:bCs/>
          <w:color w:val="auto"/>
          <w:sz w:val="24"/>
          <w:szCs w:val="24"/>
          <w:highlight w:val="none"/>
          <w:lang w:val="en-US" w:eastAsia="zh-CN"/>
        </w:rPr>
        <w:t>八</w:t>
      </w:r>
      <w:r>
        <w:rPr>
          <w:rFonts w:hint="eastAsia" w:hAnsi="宋体" w:cs="宋体"/>
          <w:b/>
          <w:bCs/>
          <w:color w:val="auto"/>
          <w:sz w:val="24"/>
          <w:szCs w:val="24"/>
          <w:highlight w:val="none"/>
        </w:rPr>
        <w:t>条 交货期及交货地点</w:t>
      </w:r>
    </w:p>
    <w:p w14:paraId="4298AA51">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乙方保证在合同签订生效后</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日以内负责将货物运输到达甲方指定的安装地点交货并完成安装和验收。</w:t>
      </w:r>
      <w:r>
        <w:rPr>
          <w:rFonts w:hint="eastAsia" w:ascii="仿宋" w:hAnsi="仿宋" w:eastAsia="仿宋" w:cs="仿宋"/>
          <w:color w:val="auto"/>
          <w:sz w:val="28"/>
          <w:szCs w:val="28"/>
          <w:highlight w:val="none"/>
        </w:rPr>
        <w:t>延迟到货则按中标总价的0.5％/天作为违约金支付给采购人。</w:t>
      </w:r>
    </w:p>
    <w:p w14:paraId="22C93326">
      <w:pPr>
        <w:pStyle w:val="5"/>
        <w:spacing w:line="360" w:lineRule="auto"/>
        <w:ind w:left="0" w:leftChars="0" w:firstLine="480" w:firstLineChars="200"/>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甲方可根据实际需求调整货物配送数量(实际配送数量不超过设备清单数量)，配送清单(包括货物类别、数量)以甲方通知为准，根据配送清单据实结算货款。</w:t>
      </w:r>
    </w:p>
    <w:p w14:paraId="7734DDE0">
      <w:pPr>
        <w:spacing w:line="360" w:lineRule="auto"/>
        <w:ind w:firstLine="360" w:firstLineChars="150"/>
        <w:jc w:val="left"/>
        <w:rPr>
          <w:rFonts w:hint="eastAsia" w:hAnsi="宋体" w:cs="宋体"/>
          <w:color w:val="auto"/>
          <w:sz w:val="24"/>
          <w:szCs w:val="24"/>
          <w:highlight w:val="none"/>
        </w:rPr>
      </w:pPr>
      <w:r>
        <w:rPr>
          <w:rFonts w:hint="eastAsia" w:hAnsi="宋体" w:cs="宋体"/>
          <w:color w:val="auto"/>
          <w:sz w:val="24"/>
          <w:szCs w:val="24"/>
          <w:highlight w:val="none"/>
        </w:rPr>
        <w:t>交货地点：成都市温江区麻市街33号  甲方指定的安装现场。</w:t>
      </w:r>
    </w:p>
    <w:p w14:paraId="2CBA1BC2">
      <w:pPr>
        <w:spacing w:line="360" w:lineRule="auto"/>
        <w:jc w:val="left"/>
        <w:rPr>
          <w:rFonts w:hint="eastAsia" w:hAnsi="宋体" w:cs="宋体"/>
          <w:b/>
          <w:bCs/>
          <w:color w:val="auto"/>
          <w:sz w:val="24"/>
          <w:szCs w:val="24"/>
          <w:highlight w:val="none"/>
        </w:rPr>
      </w:pPr>
      <w:r>
        <w:rPr>
          <w:rFonts w:hint="eastAsia" w:hAnsi="宋体" w:cs="宋体"/>
          <w:b/>
          <w:bCs/>
          <w:color w:val="auto"/>
          <w:sz w:val="24"/>
          <w:szCs w:val="24"/>
          <w:highlight w:val="none"/>
        </w:rPr>
        <w:t>第</w:t>
      </w:r>
      <w:r>
        <w:rPr>
          <w:rFonts w:hint="eastAsia" w:hAnsi="宋体" w:cs="宋体"/>
          <w:b/>
          <w:bCs/>
          <w:color w:val="auto"/>
          <w:sz w:val="24"/>
          <w:szCs w:val="24"/>
          <w:highlight w:val="none"/>
          <w:lang w:val="en-US" w:eastAsia="zh-CN"/>
        </w:rPr>
        <w:t>九</w:t>
      </w:r>
      <w:r>
        <w:rPr>
          <w:rFonts w:hint="eastAsia" w:hAnsi="宋体" w:cs="宋体"/>
          <w:b/>
          <w:bCs/>
          <w:color w:val="auto"/>
          <w:sz w:val="24"/>
          <w:szCs w:val="24"/>
          <w:highlight w:val="none"/>
        </w:rPr>
        <w:t>条 安装验收</w:t>
      </w:r>
    </w:p>
    <w:p w14:paraId="176A43D0">
      <w:pPr>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验收分为安装调试完成后的功能验收和质量保</w:t>
      </w:r>
      <w:r>
        <w:rPr>
          <w:rFonts w:hint="eastAsia" w:ascii="仿宋" w:hAnsi="仿宋" w:eastAsia="仿宋" w:cs="仿宋"/>
          <w:color w:val="auto"/>
          <w:sz w:val="28"/>
          <w:szCs w:val="28"/>
          <w:highlight w:val="none"/>
          <w:lang w:val="en-US" w:eastAsia="zh-CN"/>
        </w:rPr>
        <w:t>修</w:t>
      </w:r>
      <w:r>
        <w:rPr>
          <w:rFonts w:hint="eastAsia" w:ascii="仿宋" w:hAnsi="仿宋" w:eastAsia="仿宋" w:cs="仿宋"/>
          <w:color w:val="auto"/>
          <w:sz w:val="28"/>
          <w:szCs w:val="28"/>
          <w:highlight w:val="none"/>
        </w:rPr>
        <w:t>期满后的履约验收两个阶段。</w:t>
      </w:r>
    </w:p>
    <w:p w14:paraId="6C7585A1">
      <w:pPr>
        <w:pStyle w:val="4"/>
        <w:ind w:firstLine="480" w:firstLineChars="200"/>
        <w:rPr>
          <w:rFonts w:hint="eastAsia" w:ascii="仿宋" w:hAnsi="仿宋" w:eastAsia="仿宋" w:cs="宋体"/>
          <w:color w:val="auto"/>
          <w:sz w:val="24"/>
          <w:highlight w:val="none"/>
        </w:rPr>
      </w:pPr>
      <w:r>
        <w:rPr>
          <w:rFonts w:hint="eastAsia" w:ascii="仿宋" w:hAnsi="仿宋" w:eastAsia="仿宋" w:cs="宋体"/>
          <w:color w:val="auto"/>
          <w:sz w:val="24"/>
          <w:highlight w:val="none"/>
        </w:rPr>
        <w:t>（一）功能验收</w:t>
      </w:r>
    </w:p>
    <w:p w14:paraId="2729C2EC">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1.现场开箱检验：货物抵达甲方项目现场后</w:t>
      </w:r>
      <w:r>
        <w:rPr>
          <w:rFonts w:hint="eastAsia" w:hAnsi="宋体" w:cs="宋体"/>
          <w:color w:val="auto"/>
          <w:sz w:val="24"/>
          <w:szCs w:val="24"/>
          <w:highlight w:val="none"/>
          <w:u w:val="single"/>
        </w:rPr>
        <w:t xml:space="preserve">  3  </w:t>
      </w:r>
      <w:r>
        <w:rPr>
          <w:rFonts w:hint="eastAsia" w:hAnsi="宋体" w:cs="宋体"/>
          <w:color w:val="auto"/>
          <w:sz w:val="24"/>
          <w:szCs w:val="24"/>
          <w:highlight w:val="none"/>
        </w:rPr>
        <w:t>日内乙方人员应抵达甲方项目现场，依据乙方提供的装箱单、检验合格证书、使用说明及质量标准等有关资料，由甲乙双方各自指定的人员共同开箱检验，如出现设备短缺、规格</w:t>
      </w:r>
      <w:r>
        <w:rPr>
          <w:rFonts w:hint="eastAsia" w:hAnsi="宋体" w:cs="宋体"/>
          <w:color w:val="auto"/>
          <w:sz w:val="24"/>
          <w:szCs w:val="24"/>
          <w:highlight w:val="none"/>
          <w:lang w:val="en-US" w:eastAsia="zh-CN"/>
        </w:rPr>
        <w:t>型号</w:t>
      </w:r>
      <w:r>
        <w:rPr>
          <w:rFonts w:hint="eastAsia" w:hAnsi="宋体" w:cs="宋体"/>
          <w:color w:val="auto"/>
          <w:sz w:val="24"/>
          <w:szCs w:val="24"/>
          <w:highlight w:val="none"/>
        </w:rPr>
        <w:t>不符、资料不全等，由乙方无偿给予更换、补齐，并承担由此产生的一切费用。</w:t>
      </w:r>
    </w:p>
    <w:p w14:paraId="3A299E5D">
      <w:pPr>
        <w:spacing w:line="360" w:lineRule="auto"/>
        <w:ind w:firstLine="480" w:firstLineChars="200"/>
        <w:rPr>
          <w:rFonts w:hint="eastAsia" w:ascii="仿宋" w:hAnsi="仿宋" w:eastAsia="仿宋" w:cs="仿宋"/>
          <w:color w:val="auto"/>
          <w:sz w:val="28"/>
          <w:szCs w:val="28"/>
          <w:highlight w:val="none"/>
        </w:rPr>
      </w:pPr>
      <w:r>
        <w:rPr>
          <w:rFonts w:hint="eastAsia" w:hAnsi="宋体" w:cs="宋体"/>
          <w:color w:val="auto"/>
          <w:sz w:val="24"/>
          <w:szCs w:val="24"/>
          <w:highlight w:val="none"/>
        </w:rPr>
        <w:t>2.</w:t>
      </w:r>
      <w:r>
        <w:rPr>
          <w:rFonts w:hint="eastAsia" w:hAnsi="宋体" w:cs="宋体"/>
          <w:color w:val="auto"/>
          <w:sz w:val="24"/>
          <w:szCs w:val="24"/>
          <w:highlight w:val="none"/>
          <w:lang w:val="en-US" w:eastAsia="zh-CN"/>
        </w:rPr>
        <w:t>安装：</w:t>
      </w:r>
      <w:r>
        <w:rPr>
          <w:rFonts w:hint="eastAsia" w:ascii="宋体" w:hAnsi="宋体" w:eastAsia="宋体" w:cs="宋体"/>
          <w:color w:val="auto"/>
          <w:sz w:val="24"/>
          <w:szCs w:val="24"/>
          <w:highlight w:val="none"/>
        </w:rPr>
        <w:t>在货物抵达医院后</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7</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日内</w:t>
      </w:r>
      <w:r>
        <w:rPr>
          <w:rFonts w:hint="eastAsia" w:ascii="宋体" w:hAnsi="宋体" w:eastAsia="宋体" w:cs="宋体"/>
          <w:color w:val="auto"/>
          <w:sz w:val="24"/>
          <w:szCs w:val="24"/>
          <w:highlight w:val="none"/>
          <w:lang w:val="en-US" w:eastAsia="zh-CN"/>
        </w:rPr>
        <w:t>乙方</w:t>
      </w:r>
      <w:r>
        <w:rPr>
          <w:rFonts w:hint="eastAsia" w:hAnsi="宋体" w:cs="宋体"/>
          <w:color w:val="auto"/>
          <w:sz w:val="24"/>
          <w:szCs w:val="24"/>
          <w:highlight w:val="none"/>
        </w:rPr>
        <w:t>派工程技术人员抵达项目现场，开始系统安装和调试，与甲方信息系统（HIS、LIS、PACS等甲方在用信息系统，接口费用包含在成交总价中）完成对接，达到正式运行要求，保证</w:t>
      </w:r>
      <w:r>
        <w:rPr>
          <w:rFonts w:hint="eastAsia" w:hAnsi="宋体" w:cs="宋体"/>
          <w:color w:val="auto"/>
          <w:sz w:val="24"/>
          <w:szCs w:val="24"/>
          <w:highlight w:val="none"/>
          <w:lang w:val="en-US" w:eastAsia="zh-CN"/>
        </w:rPr>
        <w:t>甲方</w:t>
      </w:r>
      <w:r>
        <w:rPr>
          <w:rFonts w:hint="eastAsia" w:hAnsi="宋体" w:cs="宋体"/>
          <w:color w:val="auto"/>
          <w:sz w:val="24"/>
          <w:szCs w:val="24"/>
          <w:highlight w:val="none"/>
        </w:rPr>
        <w:t>能正常使用。如设备的安装和运行需要特定的场所和配套设施，乙方应明确向甲方作出说明，以便甲方能按乙方要求完成相关准备工作。如乙方对安装场地予以认可后，应向甲方出具《设置场所验收合格证明》。</w:t>
      </w:r>
      <w:r>
        <w:rPr>
          <w:rFonts w:hint="eastAsia" w:ascii="仿宋" w:hAnsi="仿宋" w:eastAsia="仿宋" w:cs="仿宋"/>
          <w:color w:val="auto"/>
          <w:sz w:val="28"/>
          <w:szCs w:val="28"/>
          <w:highlight w:val="none"/>
        </w:rPr>
        <w:t>（若验收产品涉及有日常使用耗材/试剂等，须待耗材/试剂采购完成后进行验收）</w:t>
      </w:r>
    </w:p>
    <w:p w14:paraId="602992A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设备安装前，如涉及到旧机拆除，供应商需根据项目实际情况，按采购人的要求完成拆除（数量不超过新购设备数量），拆除旧机的残值归采购人所有，拆除费用包含在投标报价中，采购人不再额外支付拆除费用，拆除工作中的作业安全由供应商自行负责，与采购人无关。</w:t>
      </w:r>
    </w:p>
    <w:p w14:paraId="5FF8D56C">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lang w:val="en-US" w:eastAsia="zh-CN"/>
        </w:rPr>
        <w:t>4</w:t>
      </w:r>
      <w:r>
        <w:rPr>
          <w:rFonts w:hint="eastAsia" w:hAnsi="宋体" w:cs="宋体"/>
          <w:color w:val="auto"/>
          <w:sz w:val="24"/>
          <w:szCs w:val="24"/>
          <w:highlight w:val="none"/>
        </w:rPr>
        <w:t>.验收：</w:t>
      </w:r>
    </w:p>
    <w:p w14:paraId="381042AB">
      <w:pPr>
        <w:spacing w:line="360" w:lineRule="auto"/>
        <w:ind w:firstLine="480" w:firstLineChars="200"/>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4</w:t>
      </w:r>
      <w:r>
        <w:rPr>
          <w:rFonts w:hint="eastAsia" w:hAnsi="宋体" w:cs="宋体"/>
          <w:color w:val="auto"/>
          <w:sz w:val="24"/>
          <w:szCs w:val="24"/>
          <w:highlight w:val="none"/>
          <w:lang w:val="en-US" w:eastAsia="zh-Hans"/>
        </w:rPr>
        <w:t>.</w:t>
      </w:r>
      <w:r>
        <w:rPr>
          <w:rFonts w:hint="default" w:hAnsi="宋体" w:cs="宋体"/>
          <w:color w:val="auto"/>
          <w:sz w:val="24"/>
          <w:szCs w:val="24"/>
          <w:highlight w:val="none"/>
          <w:lang w:eastAsia="zh-Hans"/>
        </w:rPr>
        <w:t>1</w:t>
      </w:r>
      <w:r>
        <w:rPr>
          <w:rFonts w:hint="eastAsia" w:hAnsi="宋体" w:cs="宋体"/>
          <w:color w:val="auto"/>
          <w:sz w:val="24"/>
          <w:szCs w:val="24"/>
          <w:highlight w:val="none"/>
        </w:rPr>
        <w:t>安装调试后，</w:t>
      </w:r>
      <w:r>
        <w:rPr>
          <w:rFonts w:hint="eastAsia" w:hAnsi="宋体" w:cs="宋体"/>
          <w:color w:val="auto"/>
          <w:sz w:val="24"/>
          <w:szCs w:val="24"/>
          <w:highlight w:val="none"/>
          <w:lang w:val="en-US" w:eastAsia="zh-CN"/>
        </w:rPr>
        <w:t>由甲方进行验收</w:t>
      </w:r>
      <w:r>
        <w:rPr>
          <w:rFonts w:hint="default" w:hAnsi="宋体" w:cs="宋体"/>
          <w:color w:val="auto"/>
          <w:sz w:val="24"/>
          <w:szCs w:val="24"/>
          <w:highlight w:val="none"/>
          <w:lang w:eastAsia="zh-CN"/>
        </w:rPr>
        <w:t>，</w:t>
      </w:r>
      <w:r>
        <w:rPr>
          <w:rFonts w:hint="eastAsia" w:hAnsi="宋体" w:cs="宋体"/>
          <w:color w:val="auto"/>
          <w:sz w:val="24"/>
          <w:szCs w:val="24"/>
          <w:highlight w:val="none"/>
        </w:rPr>
        <w:t>若验收产品涉及有专机专用的日常使用消耗品（耗材/试剂）等，须待消耗品（耗材/试剂）采购完成后进行验收。</w:t>
      </w:r>
    </w:p>
    <w:p w14:paraId="0A1FC52C">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lang w:val="en-US" w:eastAsia="zh-CN"/>
        </w:rPr>
        <w:t>4</w:t>
      </w:r>
      <w:r>
        <w:rPr>
          <w:rFonts w:hint="eastAsia" w:hAnsi="宋体" w:cs="宋体"/>
          <w:color w:val="auto"/>
          <w:sz w:val="24"/>
          <w:szCs w:val="24"/>
          <w:highlight w:val="none"/>
          <w:lang w:val="en-US" w:eastAsia="zh-Hans"/>
        </w:rPr>
        <w:t>.</w:t>
      </w:r>
      <w:r>
        <w:rPr>
          <w:rFonts w:hint="default" w:hAnsi="宋体" w:cs="宋体"/>
          <w:color w:val="auto"/>
          <w:sz w:val="24"/>
          <w:szCs w:val="24"/>
          <w:highlight w:val="none"/>
          <w:lang w:eastAsia="zh-Hans"/>
        </w:rPr>
        <w:t>2</w:t>
      </w:r>
      <w:r>
        <w:rPr>
          <w:rFonts w:hint="eastAsia" w:hAnsi="宋体" w:cs="宋体"/>
          <w:color w:val="auto"/>
          <w:sz w:val="24"/>
          <w:szCs w:val="24"/>
          <w:highlight w:val="none"/>
        </w:rPr>
        <w:t>双方依据投标文件的技术响应承诺和本合同特别约定的条款对设备进行性能考核。遵从国家标准及企业相关标准按照就高不就低的原则执行，并且实际技术指标应与招标文件和投标书中所提供的技术指标一致。货物经</w:t>
      </w:r>
      <w:r>
        <w:rPr>
          <w:rFonts w:hint="eastAsia" w:hAnsi="宋体" w:cs="宋体"/>
          <w:color w:val="auto"/>
          <w:sz w:val="24"/>
          <w:szCs w:val="24"/>
          <w:highlight w:val="none"/>
          <w:lang w:val="en-US" w:eastAsia="zh-CN"/>
        </w:rPr>
        <w:t>甲方</w:t>
      </w:r>
      <w:r>
        <w:rPr>
          <w:rFonts w:hint="eastAsia" w:hAnsi="宋体" w:cs="宋体"/>
          <w:color w:val="auto"/>
          <w:sz w:val="24"/>
          <w:szCs w:val="24"/>
          <w:highlight w:val="none"/>
        </w:rPr>
        <w:t>验收合格</w:t>
      </w:r>
      <w:r>
        <w:rPr>
          <w:rFonts w:hint="eastAsia" w:hAnsi="宋体" w:cs="宋体"/>
          <w:color w:val="auto"/>
          <w:sz w:val="24"/>
          <w:szCs w:val="24"/>
          <w:highlight w:val="none"/>
          <w:lang w:val="en-US" w:eastAsia="zh-CN"/>
        </w:rPr>
        <w:t>后</w:t>
      </w:r>
      <w:r>
        <w:rPr>
          <w:rFonts w:hint="eastAsia" w:hAnsi="宋体" w:cs="宋体"/>
          <w:color w:val="auto"/>
          <w:sz w:val="24"/>
          <w:szCs w:val="24"/>
          <w:highlight w:val="none"/>
        </w:rPr>
        <w:t>，双方签署验收合格证书，一式两份，双方各执一份。在签署验收之前，甲方不做正式临床使用。如乙方所供货物不符合前述要求，甲方有权拒签验收合格证明，并有权要求乙方限期无条件更换或补齐；乙方应在甲方提出相关要求后</w:t>
      </w:r>
      <w:r>
        <w:rPr>
          <w:rFonts w:hint="eastAsia" w:hAnsi="宋体" w:cs="宋体"/>
          <w:color w:val="auto"/>
          <w:sz w:val="24"/>
          <w:szCs w:val="24"/>
          <w:highlight w:val="none"/>
          <w:u w:val="single"/>
        </w:rPr>
        <w:t xml:space="preserve">  7  </w:t>
      </w:r>
      <w:r>
        <w:rPr>
          <w:rFonts w:hint="eastAsia" w:hAnsi="宋体" w:cs="宋体"/>
          <w:color w:val="auto"/>
          <w:sz w:val="24"/>
          <w:szCs w:val="24"/>
          <w:highlight w:val="none"/>
        </w:rPr>
        <w:t>日内提供符合上述要求的产品。如不能在前述时间内提供产品，甲方有权退货并解除合同，如已支付货款的，要求乙方全额返还货款，并承担</w:t>
      </w:r>
      <w:r>
        <w:rPr>
          <w:rFonts w:hint="eastAsia" w:hAnsi="宋体" w:cs="宋体"/>
          <w:color w:val="auto"/>
          <w:sz w:val="24"/>
          <w:szCs w:val="24"/>
          <w:highlight w:val="none"/>
          <w:lang w:val="en-US" w:eastAsia="zh-CN"/>
        </w:rPr>
        <w:t>本</w:t>
      </w:r>
      <w:r>
        <w:rPr>
          <w:rFonts w:hint="eastAsia" w:hAnsi="宋体" w:cs="宋体"/>
          <w:color w:val="auto"/>
          <w:sz w:val="24"/>
          <w:szCs w:val="24"/>
          <w:highlight w:val="none"/>
        </w:rPr>
        <w:t>合同</w:t>
      </w:r>
      <w:r>
        <w:rPr>
          <w:rFonts w:hint="eastAsia" w:hAnsi="宋体" w:cs="宋体"/>
          <w:color w:val="auto"/>
          <w:sz w:val="24"/>
          <w:szCs w:val="24"/>
          <w:highlight w:val="none"/>
          <w:lang w:val="en-US" w:eastAsia="zh-CN"/>
        </w:rPr>
        <w:t>总</w:t>
      </w:r>
      <w:r>
        <w:rPr>
          <w:rFonts w:hint="eastAsia" w:hAnsi="宋体" w:cs="宋体"/>
          <w:color w:val="auto"/>
          <w:sz w:val="24"/>
          <w:szCs w:val="24"/>
          <w:highlight w:val="none"/>
        </w:rPr>
        <w:t>金额20%的违约金。</w:t>
      </w:r>
    </w:p>
    <w:p w14:paraId="08585825">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lang w:val="en-US" w:eastAsia="zh-CN"/>
        </w:rPr>
        <w:t>5</w:t>
      </w:r>
      <w:r>
        <w:rPr>
          <w:rFonts w:hint="eastAsia" w:hAnsi="宋体" w:cs="宋体"/>
          <w:color w:val="auto"/>
          <w:sz w:val="24"/>
          <w:szCs w:val="24"/>
          <w:highlight w:val="none"/>
        </w:rPr>
        <w:t>.</w:t>
      </w:r>
      <w:r>
        <w:rPr>
          <w:rFonts w:hint="eastAsia" w:ascii="仿宋" w:hAnsi="仿宋" w:eastAsia="仿宋" w:cs="仿宋"/>
          <w:color w:val="auto"/>
          <w:sz w:val="28"/>
          <w:szCs w:val="28"/>
          <w:highlight w:val="none"/>
        </w:rPr>
        <w:t>凡在国家计量检定、校准规程范围内的仪器设备及特种设备，供应商应进行首次检定或校准，经质量技术监督授权部门检测合格并取得相应检测证书后，方可交付采购人。检测费用由供应商支付，未经检测合格的设备采购人不予验收。</w:t>
      </w:r>
    </w:p>
    <w:p w14:paraId="0D1788F8">
      <w:pPr>
        <w:pStyle w:val="4"/>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.如涉及到场地改造、屏蔽防护等相关项目，均由乙方负责；项目实施过程中，人员安全、设备设施安全等问题均由乙方负责；其相关费用包含在成交总价中，甲方不承担任何费用。</w:t>
      </w:r>
    </w:p>
    <w:p w14:paraId="594F388C">
      <w:pPr>
        <w:pStyle w:val="4"/>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（二）履约验收</w:t>
      </w:r>
    </w:p>
    <w:p w14:paraId="031751E1">
      <w:pPr>
        <w:pStyle w:val="4"/>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1.设备质量保修期满后，由乙方向甲方提出履约验收申请，经甲方确认乙方已对合同约定条款履约完毕且无合同纠纷后，履约验收合格；若履约验收不合格</w:t>
      </w:r>
      <w:r>
        <w:rPr>
          <w:rFonts w:ascii="宋体" w:hAnsi="宋体" w:cs="宋体"/>
          <w:color w:val="auto"/>
          <w:kern w:val="0"/>
          <w:sz w:val="24"/>
          <w:highlight w:val="none"/>
        </w:rPr>
        <w:t>,</w:t>
      </w:r>
      <w:r>
        <w:rPr>
          <w:rFonts w:hint="eastAsia" w:ascii="宋体" w:hAnsi="宋体" w:cs="宋体"/>
          <w:color w:val="auto"/>
          <w:kern w:val="0"/>
          <w:sz w:val="24"/>
          <w:highlight w:val="none"/>
        </w:rPr>
        <w:t>甲方有权拒签履约验收合格证明，并有权要求乙方限期无条件整改。</w:t>
      </w:r>
    </w:p>
    <w:p w14:paraId="1364B94C">
      <w:pPr>
        <w:pStyle w:val="4"/>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2.履约验收不合格将不予退还履约保证金。</w:t>
      </w:r>
    </w:p>
    <w:p w14:paraId="4607468E">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第</w:t>
      </w:r>
      <w:r>
        <w:rPr>
          <w:rFonts w:hint="eastAsia" w:hAnsi="宋体" w:cs="宋体"/>
          <w:b/>
          <w:bCs/>
          <w:color w:val="auto"/>
          <w:sz w:val="24"/>
          <w:szCs w:val="24"/>
          <w:highlight w:val="none"/>
          <w:lang w:val="en-US" w:eastAsia="zh-CN"/>
        </w:rPr>
        <w:t>十</w:t>
      </w:r>
      <w:r>
        <w:rPr>
          <w:rFonts w:hint="eastAsia" w:hAnsi="宋体" w:cs="宋体"/>
          <w:b/>
          <w:bCs/>
          <w:color w:val="auto"/>
          <w:sz w:val="24"/>
          <w:szCs w:val="24"/>
          <w:highlight w:val="none"/>
        </w:rPr>
        <w:t>条 培训</w:t>
      </w:r>
    </w:p>
    <w:p w14:paraId="71B671C7">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lang w:val="en-US" w:eastAsia="zh-CN"/>
        </w:rPr>
        <w:t>在</w:t>
      </w:r>
      <w:r>
        <w:rPr>
          <w:rFonts w:hint="eastAsia" w:hAnsi="宋体" w:cs="宋体"/>
          <w:color w:val="auto"/>
          <w:sz w:val="24"/>
          <w:szCs w:val="24"/>
          <w:highlight w:val="none"/>
        </w:rPr>
        <w:t>设备安装、调试正常使用后，</w:t>
      </w:r>
      <w:r>
        <w:rPr>
          <w:rFonts w:hint="eastAsia" w:hAnsi="宋体" w:cs="宋体"/>
          <w:color w:val="auto"/>
          <w:sz w:val="24"/>
          <w:szCs w:val="24"/>
          <w:highlight w:val="none"/>
          <w:lang w:val="en-US" w:eastAsia="zh-CN"/>
        </w:rPr>
        <w:t>乙方</w:t>
      </w:r>
      <w:r>
        <w:rPr>
          <w:rFonts w:hint="eastAsia" w:hAnsi="宋体" w:cs="宋体"/>
          <w:color w:val="auto"/>
          <w:sz w:val="24"/>
          <w:szCs w:val="24"/>
          <w:highlight w:val="none"/>
        </w:rPr>
        <w:t>工程师现场对</w:t>
      </w:r>
      <w:r>
        <w:rPr>
          <w:rFonts w:hint="eastAsia" w:hAnsi="宋体" w:cs="宋体"/>
          <w:color w:val="auto"/>
          <w:sz w:val="24"/>
          <w:szCs w:val="24"/>
          <w:highlight w:val="none"/>
          <w:lang w:val="en-US" w:eastAsia="zh-CN"/>
        </w:rPr>
        <w:t>甲方</w:t>
      </w:r>
      <w:r>
        <w:rPr>
          <w:rFonts w:hint="eastAsia" w:hAnsi="宋体" w:cs="宋体"/>
          <w:color w:val="auto"/>
          <w:sz w:val="24"/>
          <w:szCs w:val="24"/>
          <w:highlight w:val="none"/>
        </w:rPr>
        <w:t>各操作人员进行培训，直到使用者能独立熟练操作为止。</w:t>
      </w:r>
      <w:r>
        <w:rPr>
          <w:rFonts w:hint="eastAsia" w:hAnsi="宋体" w:cs="宋体"/>
          <w:color w:val="auto"/>
          <w:sz w:val="24"/>
          <w:szCs w:val="24"/>
          <w:highlight w:val="none"/>
          <w:lang w:val="en-US" w:eastAsia="zh-CN"/>
        </w:rPr>
        <w:t>乙方应当</w:t>
      </w:r>
      <w:r>
        <w:rPr>
          <w:rFonts w:hint="eastAsia" w:hAnsi="宋体" w:cs="宋体"/>
          <w:color w:val="auto"/>
          <w:sz w:val="24"/>
          <w:szCs w:val="24"/>
          <w:highlight w:val="none"/>
        </w:rPr>
        <w:t>对</w:t>
      </w:r>
      <w:r>
        <w:rPr>
          <w:rFonts w:hint="eastAsia" w:hAnsi="宋体" w:cs="宋体"/>
          <w:color w:val="auto"/>
          <w:sz w:val="24"/>
          <w:szCs w:val="24"/>
          <w:highlight w:val="none"/>
          <w:lang w:val="en-US" w:eastAsia="zh-CN"/>
        </w:rPr>
        <w:t>甲方</w:t>
      </w:r>
      <w:r>
        <w:rPr>
          <w:rFonts w:hint="eastAsia" w:hAnsi="宋体" w:cs="宋体"/>
          <w:color w:val="auto"/>
          <w:sz w:val="24"/>
          <w:szCs w:val="24"/>
          <w:highlight w:val="none"/>
        </w:rPr>
        <w:t>的维修</w:t>
      </w:r>
      <w:r>
        <w:rPr>
          <w:rFonts w:hint="eastAsia" w:hAnsi="宋体" w:cs="宋体"/>
          <w:color w:val="auto"/>
          <w:sz w:val="24"/>
          <w:szCs w:val="24"/>
          <w:highlight w:val="none"/>
          <w:lang w:val="en-US" w:eastAsia="zh-CN"/>
        </w:rPr>
        <w:t>工程师</w:t>
      </w:r>
      <w:r>
        <w:rPr>
          <w:rFonts w:hint="eastAsia" w:hAnsi="宋体" w:cs="宋体"/>
          <w:color w:val="auto"/>
          <w:sz w:val="24"/>
          <w:szCs w:val="24"/>
          <w:highlight w:val="none"/>
        </w:rPr>
        <w:t>进行常见故障的判断、处理、维修培训。培训人数以医院制定的为准。乙方应对</w:t>
      </w:r>
      <w:r>
        <w:rPr>
          <w:rFonts w:hint="eastAsia" w:hAnsi="宋体" w:cs="宋体"/>
          <w:bCs/>
          <w:color w:val="auto"/>
          <w:sz w:val="24"/>
          <w:szCs w:val="24"/>
          <w:highlight w:val="none"/>
        </w:rPr>
        <w:t>甲方</w:t>
      </w:r>
      <w:r>
        <w:rPr>
          <w:rFonts w:hint="eastAsia" w:hAnsi="宋体" w:cs="宋体"/>
          <w:color w:val="auto"/>
          <w:sz w:val="24"/>
          <w:szCs w:val="24"/>
          <w:highlight w:val="none"/>
        </w:rPr>
        <w:t>维修工程师免费进行设备全系统维修培训。</w:t>
      </w:r>
    </w:p>
    <w:p w14:paraId="23358DD1">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第十</w:t>
      </w:r>
      <w:r>
        <w:rPr>
          <w:rFonts w:hint="eastAsia" w:hAnsi="宋体" w:cs="宋体"/>
          <w:b/>
          <w:bCs/>
          <w:color w:val="auto"/>
          <w:sz w:val="24"/>
          <w:szCs w:val="24"/>
          <w:highlight w:val="none"/>
          <w:lang w:val="en-US" w:eastAsia="zh-CN"/>
        </w:rPr>
        <w:t>一</w:t>
      </w:r>
      <w:r>
        <w:rPr>
          <w:rFonts w:hint="eastAsia" w:hAnsi="宋体" w:cs="宋体"/>
          <w:b/>
          <w:bCs/>
          <w:color w:val="auto"/>
          <w:sz w:val="24"/>
          <w:szCs w:val="24"/>
          <w:highlight w:val="none"/>
        </w:rPr>
        <w:t>条 资料提交</w:t>
      </w:r>
    </w:p>
    <w:p w14:paraId="23E1BBFF">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1.完整的技术资料（说明书、设备操作手册、设备维修手册等设备全套技术资料）；</w:t>
      </w:r>
    </w:p>
    <w:p w14:paraId="371A47B4">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2.出厂检验报告及合格证；</w:t>
      </w:r>
    </w:p>
    <w:p w14:paraId="2A8E218B">
      <w:pPr>
        <w:tabs>
          <w:tab w:val="left" w:pos="0"/>
        </w:tabs>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3.合法销售和使用的资质材料复印件（包括年检后营业执照副本，医疗器械经营许可证，税务登记证，组织机构代码证，医疗器械注册证和注册表等其他必备的材料）；</w:t>
      </w:r>
    </w:p>
    <w:p w14:paraId="37EE4C30">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4.代理授权书复印件，并溯源至生产厂商；</w:t>
      </w:r>
    </w:p>
    <w:p w14:paraId="08B84A25">
      <w:pPr>
        <w:spacing w:line="360" w:lineRule="auto"/>
        <w:ind w:firstLine="480" w:firstLineChars="200"/>
        <w:rPr>
          <w:b/>
          <w:bCs/>
          <w:color w:val="auto"/>
          <w:sz w:val="24"/>
          <w:szCs w:val="24"/>
          <w:highlight w:val="none"/>
        </w:rPr>
      </w:pPr>
      <w:r>
        <w:rPr>
          <w:rFonts w:hint="eastAsia" w:hAnsi="宋体" w:cs="宋体"/>
          <w:color w:val="auto"/>
          <w:sz w:val="24"/>
          <w:szCs w:val="24"/>
          <w:highlight w:val="none"/>
        </w:rPr>
        <w:t>5.</w:t>
      </w:r>
      <w:r>
        <w:rPr>
          <w:rFonts w:hint="eastAsia" w:hAnsi="宋体" w:cs="宋体"/>
          <w:color w:val="auto"/>
          <w:sz w:val="24"/>
          <w:szCs w:val="24"/>
          <w:highlight w:val="none"/>
          <w:lang w:val="en-US" w:eastAsia="zh-CN"/>
        </w:rPr>
        <w:t>乙方</w:t>
      </w:r>
      <w:r>
        <w:rPr>
          <w:rFonts w:hint="eastAsia" w:hAnsi="宋体" w:cs="宋体"/>
          <w:color w:val="auto"/>
          <w:sz w:val="24"/>
          <w:szCs w:val="24"/>
          <w:highlight w:val="none"/>
        </w:rPr>
        <w:t>需配备足够的原厂的维修工程师常驻项目所在地省份，提供工程师名单、工作证和身份证（扫描件），并提供在项目所在地的座机服务电话和手机。</w:t>
      </w:r>
    </w:p>
    <w:p w14:paraId="12BAB835">
      <w:pPr>
        <w:spacing w:line="360" w:lineRule="auto"/>
        <w:ind w:firstLine="480" w:firstLineChars="200"/>
        <w:rPr>
          <w:rFonts w:hAnsi="宋体" w:cs="宋体"/>
          <w:b/>
          <w:bCs/>
          <w:color w:val="auto"/>
          <w:sz w:val="24"/>
          <w:szCs w:val="24"/>
          <w:highlight w:val="none"/>
        </w:rPr>
      </w:pPr>
      <w:r>
        <w:rPr>
          <w:rFonts w:hint="eastAsia" w:hAnsi="宋体" w:cs="宋体"/>
          <w:b/>
          <w:bCs/>
          <w:color w:val="auto"/>
          <w:sz w:val="24"/>
          <w:szCs w:val="24"/>
          <w:highlight w:val="none"/>
        </w:rPr>
        <w:t>以上资料由乙方在安装验收前提供给甲方。</w:t>
      </w:r>
    </w:p>
    <w:p w14:paraId="680320C2">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第十</w:t>
      </w:r>
      <w:r>
        <w:rPr>
          <w:rFonts w:hint="eastAsia" w:hAnsi="宋体" w:cs="宋体"/>
          <w:b/>
          <w:bCs/>
          <w:color w:val="auto"/>
          <w:sz w:val="24"/>
          <w:szCs w:val="24"/>
          <w:highlight w:val="none"/>
          <w:lang w:val="en-US" w:eastAsia="zh-CN"/>
        </w:rPr>
        <w:t>二</w:t>
      </w:r>
      <w:r>
        <w:rPr>
          <w:rFonts w:hint="eastAsia" w:hAnsi="宋体" w:cs="宋体"/>
          <w:b/>
          <w:bCs/>
          <w:color w:val="auto"/>
          <w:sz w:val="24"/>
          <w:szCs w:val="24"/>
          <w:highlight w:val="none"/>
        </w:rPr>
        <w:t>条 设备的质量保修期及售后服务</w:t>
      </w:r>
    </w:p>
    <w:p w14:paraId="76B947FA">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1.设备质量保修期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年（质量保修的时间自设备</w:t>
      </w:r>
      <w:r>
        <w:rPr>
          <w:rFonts w:hint="eastAsia" w:hAnsi="宋体" w:cs="宋体"/>
          <w:color w:val="auto"/>
          <w:sz w:val="24"/>
          <w:szCs w:val="24"/>
          <w:highlight w:val="none"/>
          <w:lang w:val="en-US" w:eastAsia="zh-CN"/>
        </w:rPr>
        <w:t>功能</w:t>
      </w:r>
      <w:r>
        <w:rPr>
          <w:rFonts w:hint="eastAsia" w:hAnsi="宋体" w:cs="宋体"/>
          <w:color w:val="auto"/>
          <w:sz w:val="24"/>
          <w:szCs w:val="24"/>
          <w:highlight w:val="none"/>
        </w:rPr>
        <w:t>验收合格并经双方签字确认开始计时）；质保期外为终身维护，设备故障维修只收取零配件费用，人工等其他费用包含在</w:t>
      </w:r>
      <w:r>
        <w:rPr>
          <w:rFonts w:hint="eastAsia" w:hAnsi="宋体" w:cs="宋体"/>
          <w:color w:val="auto"/>
          <w:sz w:val="24"/>
          <w:szCs w:val="24"/>
          <w:highlight w:val="none"/>
          <w:lang w:val="en-US" w:eastAsia="zh-CN"/>
        </w:rPr>
        <w:t>本合同约定总额</w:t>
      </w:r>
      <w:r>
        <w:rPr>
          <w:rFonts w:hint="eastAsia" w:hAnsi="宋体" w:cs="宋体"/>
          <w:color w:val="auto"/>
          <w:sz w:val="24"/>
          <w:szCs w:val="24"/>
          <w:highlight w:val="none"/>
        </w:rPr>
        <w:t>中，不得另外收取。若涉及零配件及易耗品，投标时乙方应提供原厂零配件及易耗品报价清单（市场价格下降时按市场最低价执行）。</w:t>
      </w:r>
    </w:p>
    <w:p w14:paraId="1B4FBC05">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2.产品零配件（包括主计算机系统及工作站）保证供应时间≥10年；</w:t>
      </w:r>
    </w:p>
    <w:p w14:paraId="548DC989">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3.验收合格后的质保期内，乙方承诺开机率或使用率＞95%（按365日/年计算，即故障率不超过18天）；故障期超过一个月的，甲方有权解除合同并追按照</w:t>
      </w:r>
      <w:r>
        <w:rPr>
          <w:rFonts w:hint="eastAsia" w:hAnsi="宋体" w:cs="宋体"/>
          <w:color w:val="auto"/>
          <w:sz w:val="24"/>
          <w:szCs w:val="24"/>
          <w:highlight w:val="none"/>
          <w:lang w:val="en-US" w:eastAsia="zh-CN"/>
        </w:rPr>
        <w:t>本</w:t>
      </w:r>
      <w:r>
        <w:rPr>
          <w:rFonts w:hint="eastAsia" w:hAnsi="宋体" w:cs="宋体"/>
          <w:color w:val="auto"/>
          <w:sz w:val="24"/>
          <w:szCs w:val="24"/>
          <w:highlight w:val="none"/>
        </w:rPr>
        <w:t>合同</w:t>
      </w:r>
      <w:r>
        <w:rPr>
          <w:rFonts w:hint="eastAsia" w:hAnsi="宋体" w:cs="宋体"/>
          <w:color w:val="auto"/>
          <w:sz w:val="24"/>
          <w:szCs w:val="24"/>
          <w:highlight w:val="none"/>
          <w:lang w:val="en-US" w:eastAsia="zh-CN"/>
        </w:rPr>
        <w:t>总金额</w:t>
      </w:r>
      <w:r>
        <w:rPr>
          <w:rFonts w:hint="eastAsia" w:hAnsi="宋体" w:cs="宋体"/>
          <w:color w:val="auto"/>
          <w:sz w:val="24"/>
          <w:szCs w:val="24"/>
          <w:highlight w:val="none"/>
        </w:rPr>
        <w:t>的</w:t>
      </w:r>
      <w:r>
        <w:rPr>
          <w:rFonts w:hint="eastAsia" w:hAnsi="宋体" w:cs="宋体"/>
          <w:color w:val="auto"/>
          <w:sz w:val="24"/>
          <w:szCs w:val="24"/>
          <w:highlight w:val="none"/>
          <w:lang w:val="en-US" w:eastAsia="zh-CN"/>
        </w:rPr>
        <w:t>20</w:t>
      </w:r>
      <w:r>
        <w:rPr>
          <w:rFonts w:hint="eastAsia" w:hAnsi="宋体" w:cs="宋体"/>
          <w:color w:val="auto"/>
          <w:sz w:val="24"/>
          <w:szCs w:val="24"/>
          <w:highlight w:val="none"/>
        </w:rPr>
        <w:t>%追究</w:t>
      </w:r>
      <w:r>
        <w:rPr>
          <w:rFonts w:hint="eastAsia" w:hAnsi="宋体" w:cs="宋体"/>
          <w:color w:val="auto"/>
          <w:sz w:val="24"/>
          <w:szCs w:val="24"/>
          <w:highlight w:val="none"/>
          <w:lang w:val="en-US" w:eastAsia="zh-CN"/>
        </w:rPr>
        <w:t>乙</w:t>
      </w:r>
      <w:r>
        <w:rPr>
          <w:rFonts w:hint="eastAsia" w:hAnsi="宋体" w:cs="宋体"/>
          <w:color w:val="auto"/>
          <w:sz w:val="24"/>
          <w:szCs w:val="24"/>
          <w:highlight w:val="none"/>
        </w:rPr>
        <w:t>方的违约责任</w:t>
      </w:r>
      <w:r>
        <w:rPr>
          <w:rFonts w:hint="eastAsia" w:hAnsi="宋体" w:cs="宋体"/>
          <w:color w:val="auto"/>
          <w:sz w:val="24"/>
          <w:szCs w:val="24"/>
          <w:highlight w:val="none"/>
          <w:lang w:eastAsia="zh-CN"/>
        </w:rPr>
        <w:t>。</w:t>
      </w:r>
    </w:p>
    <w:p w14:paraId="2B7338EC">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 无论是质保期内还是在质保期外，乙方应及时向甲方提供设备使用和维护技术方面的信息，并提供各种咨询服务；若出现故障，乙方应在收到甲方通知后：</w:t>
      </w:r>
      <w:r>
        <w:rPr>
          <w:rFonts w:hint="eastAsia" w:hAnsi="宋体" w:cs="宋体"/>
          <w:color w:val="auto"/>
          <w:sz w:val="24"/>
          <w:szCs w:val="24"/>
          <w:highlight w:val="none"/>
          <w:u w:val="single"/>
        </w:rPr>
        <w:t xml:space="preserve">  2  </w:t>
      </w:r>
      <w:r>
        <w:rPr>
          <w:rFonts w:hint="eastAsia" w:hAnsi="宋体" w:cs="宋体"/>
          <w:color w:val="auto"/>
          <w:sz w:val="24"/>
          <w:szCs w:val="24"/>
          <w:highlight w:val="none"/>
        </w:rPr>
        <w:t>小时内</w:t>
      </w:r>
      <w:r>
        <w:rPr>
          <w:rFonts w:hint="eastAsia" w:hAnsi="宋体" w:cs="宋体"/>
          <w:color w:val="auto"/>
          <w:sz w:val="24"/>
          <w:szCs w:val="24"/>
          <w:highlight w:val="none"/>
          <w:lang w:val="en-US" w:eastAsia="zh-CN"/>
        </w:rPr>
        <w:t>响应并</w:t>
      </w:r>
      <w:r>
        <w:rPr>
          <w:rFonts w:hint="eastAsia" w:hAnsi="宋体" w:cs="宋体"/>
          <w:color w:val="auto"/>
          <w:sz w:val="24"/>
          <w:szCs w:val="24"/>
          <w:highlight w:val="none"/>
        </w:rPr>
        <w:t>提供技术支持作出答复，</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12</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小时到达维修现场，</w:t>
      </w:r>
      <w:r>
        <w:rPr>
          <w:rFonts w:hint="eastAsia" w:hAnsi="宋体" w:cs="宋体"/>
          <w:color w:val="auto"/>
          <w:sz w:val="24"/>
          <w:szCs w:val="24"/>
          <w:highlight w:val="none"/>
          <w:u w:val="single"/>
        </w:rPr>
        <w:t xml:space="preserve">  48  </w:t>
      </w:r>
      <w:r>
        <w:rPr>
          <w:rFonts w:hint="eastAsia" w:hAnsi="宋体" w:cs="宋体"/>
          <w:color w:val="auto"/>
          <w:sz w:val="24"/>
          <w:szCs w:val="24"/>
          <w:highlight w:val="none"/>
        </w:rPr>
        <w:t>小时无法排除故障，提供备用设备；若出现停机或不能使用等故障，乙方应按维修响应要求派遣工程师到达甲方现场进行维修处理；没有条件立即修复解决的，应在故障维修单中填写设备维修时间计划，尽快排除故障</w:t>
      </w:r>
      <w:r>
        <w:rPr>
          <w:rFonts w:hint="eastAsia" w:hAnsi="宋体" w:cs="宋体"/>
          <w:color w:val="auto"/>
          <w:sz w:val="24"/>
          <w:szCs w:val="24"/>
          <w:highlight w:val="none"/>
          <w:lang w:eastAsia="zh-CN"/>
        </w:rPr>
        <w:t>。</w:t>
      </w:r>
      <w:r>
        <w:rPr>
          <w:rFonts w:hint="eastAsia" w:hAnsi="宋体" w:cs="宋体"/>
          <w:color w:val="auto"/>
          <w:sz w:val="24"/>
          <w:szCs w:val="24"/>
          <w:highlight w:val="none"/>
        </w:rPr>
        <w:t>若乙方超过时限仍未维修，甲方可委托第三人维修，乙方承担由此产生的费用。如乙方未能按上述约定及时履行维修义务，甲方有权按实际经济损失要求乙方赔偿并追究相应的法律责任。</w:t>
      </w:r>
    </w:p>
    <w:p w14:paraId="6814E946">
      <w:pPr>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5.提供质保期满后相关原厂零配件、易损件，并提供价格清单；质保期后，乙方应按当时市场价的最低价格提供零配件和保养维修服务；</w:t>
      </w:r>
    </w:p>
    <w:p w14:paraId="08BE0E64">
      <w:pPr>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6.在质量保修期内乙方应事先申明产品使用的</w:t>
      </w:r>
      <w:r>
        <w:rPr>
          <w:rFonts w:hint="eastAsia" w:hAnsi="宋体" w:cs="宋体"/>
          <w:color w:val="auto"/>
          <w:sz w:val="24"/>
          <w:highlight w:val="none"/>
        </w:rPr>
        <w:t>日常使用消耗品（耗材/试剂）</w:t>
      </w:r>
      <w:r>
        <w:rPr>
          <w:rFonts w:hint="eastAsia" w:hAnsi="宋体" w:cs="宋体"/>
          <w:color w:val="auto"/>
          <w:sz w:val="24"/>
          <w:szCs w:val="24"/>
          <w:highlight w:val="none"/>
        </w:rPr>
        <w:t>，属于原厂专用</w:t>
      </w:r>
      <w:r>
        <w:rPr>
          <w:rFonts w:hint="eastAsia" w:hAnsi="宋体" w:cs="宋体"/>
          <w:color w:val="auto"/>
          <w:sz w:val="24"/>
          <w:highlight w:val="none"/>
        </w:rPr>
        <w:t>日常使用消耗品（耗材/试剂）</w:t>
      </w:r>
      <w:r>
        <w:rPr>
          <w:rFonts w:hint="eastAsia" w:hAnsi="宋体" w:cs="宋体"/>
          <w:color w:val="auto"/>
          <w:sz w:val="24"/>
          <w:szCs w:val="24"/>
          <w:highlight w:val="none"/>
        </w:rPr>
        <w:t>，乙方应将</w:t>
      </w:r>
      <w:r>
        <w:rPr>
          <w:rFonts w:hint="eastAsia" w:hAnsi="宋体" w:cs="宋体"/>
          <w:color w:val="auto"/>
          <w:sz w:val="24"/>
          <w:highlight w:val="none"/>
        </w:rPr>
        <w:t>日常使用消耗品（耗材/试剂）</w:t>
      </w:r>
      <w:r>
        <w:rPr>
          <w:rFonts w:hint="eastAsia" w:hAnsi="宋体" w:cs="宋体"/>
          <w:color w:val="auto"/>
          <w:sz w:val="24"/>
          <w:szCs w:val="24"/>
          <w:highlight w:val="none"/>
        </w:rPr>
        <w:t>的</w:t>
      </w:r>
      <w:r>
        <w:rPr>
          <w:rFonts w:hint="eastAsia" w:hAnsi="宋体" w:cs="宋体"/>
          <w:color w:val="auto"/>
          <w:sz w:val="24"/>
          <w:highlight w:val="none"/>
        </w:rPr>
        <w:t>名称、规格、单价、使用寿命及是否挂网</w:t>
      </w:r>
      <w:r>
        <w:rPr>
          <w:rFonts w:hint="eastAsia" w:hAnsi="宋体" w:cs="宋体"/>
          <w:color w:val="auto"/>
          <w:sz w:val="24"/>
          <w:szCs w:val="24"/>
          <w:highlight w:val="none"/>
        </w:rPr>
        <w:t>作为合同附件告知甲方。专机专用的</w:t>
      </w:r>
      <w:r>
        <w:rPr>
          <w:rFonts w:hint="eastAsia" w:hAnsi="宋体" w:cs="宋体"/>
          <w:color w:val="auto"/>
          <w:sz w:val="24"/>
          <w:highlight w:val="none"/>
        </w:rPr>
        <w:t>日常使用消耗品（耗材/试剂）</w:t>
      </w:r>
      <w:r>
        <w:rPr>
          <w:rFonts w:hint="eastAsia" w:hAnsi="宋体" w:cs="宋体"/>
          <w:color w:val="auto"/>
          <w:sz w:val="24"/>
          <w:szCs w:val="24"/>
          <w:highlight w:val="none"/>
        </w:rPr>
        <w:t>在阳光采购范围内，由科室提出需求申请，按阳光采购最低价进行采购，不在阳光采购范围内，乙方应提供市场参考价格。甲方根据对设备采购计划的安排，甲方有权随时终止设备、专机专用</w:t>
      </w:r>
      <w:r>
        <w:rPr>
          <w:rFonts w:hint="eastAsia" w:hAnsi="宋体" w:cs="宋体"/>
          <w:color w:val="auto"/>
          <w:sz w:val="24"/>
          <w:highlight w:val="none"/>
        </w:rPr>
        <w:t>日常使用消耗品（耗材/试剂）</w:t>
      </w:r>
      <w:r>
        <w:rPr>
          <w:rFonts w:hint="eastAsia" w:hAnsi="宋体" w:cs="宋体"/>
          <w:color w:val="auto"/>
          <w:sz w:val="24"/>
          <w:szCs w:val="24"/>
          <w:highlight w:val="none"/>
        </w:rPr>
        <w:t>的使用，终止后设备由医院自行处置。</w:t>
      </w:r>
    </w:p>
    <w:p w14:paraId="3FBA283F">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7.在设备质保期内，零配件维修更换产生的所有费用（含零配件费用）均由</w:t>
      </w:r>
      <w:r>
        <w:rPr>
          <w:rFonts w:hint="eastAsia" w:hAnsi="宋体" w:cs="宋体"/>
          <w:color w:val="auto"/>
          <w:sz w:val="24"/>
          <w:szCs w:val="24"/>
          <w:highlight w:val="none"/>
          <w:lang w:val="en-US" w:eastAsia="zh-Hans"/>
        </w:rPr>
        <w:t>乙方</w:t>
      </w:r>
      <w:r>
        <w:rPr>
          <w:rFonts w:hint="eastAsia" w:hAnsi="宋体" w:cs="宋体"/>
          <w:color w:val="auto"/>
          <w:sz w:val="24"/>
          <w:szCs w:val="24"/>
          <w:highlight w:val="none"/>
        </w:rPr>
        <w:t>承担。在</w:t>
      </w:r>
      <w:r>
        <w:rPr>
          <w:rFonts w:hint="eastAsia" w:hAnsi="宋体" w:cs="宋体"/>
          <w:color w:val="auto"/>
          <w:sz w:val="24"/>
          <w:szCs w:val="24"/>
          <w:highlight w:val="none"/>
          <w:lang w:val="en-US" w:eastAsia="zh-CN"/>
        </w:rPr>
        <w:t>设备</w:t>
      </w:r>
      <w:r>
        <w:rPr>
          <w:rFonts w:hint="eastAsia" w:hAnsi="宋体" w:cs="宋体"/>
          <w:color w:val="auto"/>
          <w:sz w:val="24"/>
          <w:szCs w:val="24"/>
          <w:highlight w:val="none"/>
        </w:rPr>
        <w:t>质保期内，易损件更换产生的所有费用（含易损件费用）均由乙方承担。乙方须提供《易损件价格清单表》（详见附件），清单中列明该产品涉及的所有易损件，清单外的易损件视为与设备质保期一致，质保期内产生的所有费用均由</w:t>
      </w:r>
      <w:r>
        <w:rPr>
          <w:rFonts w:hint="eastAsia" w:hAnsi="宋体" w:cs="宋体"/>
          <w:color w:val="auto"/>
          <w:sz w:val="24"/>
          <w:szCs w:val="24"/>
          <w:highlight w:val="none"/>
          <w:lang w:val="en-US" w:eastAsia="zh-Hans"/>
        </w:rPr>
        <w:t>乙方</w:t>
      </w:r>
      <w:r>
        <w:rPr>
          <w:rFonts w:hint="eastAsia" w:hAnsi="宋体" w:cs="宋体"/>
          <w:color w:val="auto"/>
          <w:sz w:val="24"/>
          <w:szCs w:val="24"/>
          <w:highlight w:val="none"/>
        </w:rPr>
        <w:t>承担。</w:t>
      </w:r>
    </w:p>
    <w:p w14:paraId="44FAD4B0">
      <w:pPr>
        <w:spacing w:line="360" w:lineRule="auto"/>
        <w:ind w:firstLine="480" w:firstLineChars="200"/>
        <w:rPr>
          <w:rFonts w:hAnsi="宋体" w:cs="宋体"/>
          <w:color w:val="auto"/>
          <w:sz w:val="24"/>
          <w:szCs w:val="24"/>
          <w:highlight w:val="none"/>
        </w:rPr>
      </w:pPr>
      <w:r>
        <w:rPr>
          <w:rFonts w:hint="default" w:hAnsi="宋体" w:cs="宋体"/>
          <w:color w:val="auto"/>
          <w:sz w:val="24"/>
          <w:szCs w:val="24"/>
          <w:highlight w:val="none"/>
        </w:rPr>
        <w:t>8</w:t>
      </w:r>
      <w:r>
        <w:rPr>
          <w:rFonts w:hint="eastAsia" w:hAnsi="宋体" w:cs="宋体"/>
          <w:color w:val="auto"/>
          <w:sz w:val="24"/>
          <w:szCs w:val="24"/>
          <w:highlight w:val="none"/>
          <w:lang w:val="en-US" w:eastAsia="zh-Hans"/>
        </w:rPr>
        <w:t>.</w:t>
      </w:r>
      <w:r>
        <w:rPr>
          <w:rFonts w:hint="eastAsia" w:hAnsi="宋体" w:cs="宋体"/>
          <w:color w:val="auto"/>
          <w:sz w:val="24"/>
          <w:szCs w:val="24"/>
          <w:highlight w:val="none"/>
        </w:rPr>
        <w:t>因乙方原因不能够达到上述设备保修及售后服务的约定，按甲方实际停机天数自动延长其保修期,甲方有权延后质保金和维保费用的支付时间，并追究乙方因此引发的相应的法律责任。</w:t>
      </w:r>
    </w:p>
    <w:p w14:paraId="2E1DD574">
      <w:pPr>
        <w:spacing w:line="360" w:lineRule="auto"/>
        <w:ind w:firstLine="480" w:firstLineChars="200"/>
        <w:rPr>
          <w:rFonts w:hint="eastAsia" w:hAnsi="宋体" w:cs="宋体"/>
          <w:color w:val="auto"/>
          <w:sz w:val="24"/>
          <w:szCs w:val="24"/>
          <w:highlight w:val="none"/>
        </w:rPr>
      </w:pPr>
      <w:r>
        <w:rPr>
          <w:rFonts w:hint="default" w:hAnsi="宋体" w:cs="宋体"/>
          <w:color w:val="auto"/>
          <w:sz w:val="24"/>
          <w:szCs w:val="24"/>
          <w:highlight w:val="none"/>
        </w:rPr>
        <w:t>9</w:t>
      </w:r>
      <w:r>
        <w:rPr>
          <w:rFonts w:hint="eastAsia" w:hAnsi="宋体" w:cs="宋体"/>
          <w:color w:val="auto"/>
          <w:sz w:val="24"/>
          <w:szCs w:val="24"/>
          <w:highlight w:val="none"/>
        </w:rPr>
        <w:t>.乙方承诺在保修期内为甲方就设备软件提供升级服务（功能升级除外）</w:t>
      </w:r>
      <w:r>
        <w:rPr>
          <w:rFonts w:hint="eastAsia" w:hAnsi="宋体" w:cs="宋体"/>
          <w:color w:val="auto"/>
          <w:sz w:val="24"/>
          <w:szCs w:val="24"/>
          <w:highlight w:val="none"/>
          <w:lang w:eastAsia="zh-CN"/>
        </w:rPr>
        <w:t>，</w:t>
      </w:r>
      <w:r>
        <w:rPr>
          <w:rFonts w:hint="eastAsia" w:hAnsi="宋体" w:cs="宋体"/>
          <w:color w:val="auto"/>
          <w:sz w:val="24"/>
          <w:szCs w:val="24"/>
          <w:highlight w:val="none"/>
          <w:lang w:val="en-US" w:eastAsia="zh-CN"/>
        </w:rPr>
        <w:t>不收取任何费用</w:t>
      </w:r>
      <w:r>
        <w:rPr>
          <w:rFonts w:hint="eastAsia" w:hAnsi="宋体" w:cs="宋体"/>
          <w:color w:val="auto"/>
          <w:sz w:val="24"/>
          <w:szCs w:val="24"/>
          <w:highlight w:val="none"/>
        </w:rPr>
        <w:t>。</w:t>
      </w:r>
    </w:p>
    <w:p w14:paraId="2E5FDF71">
      <w:pPr>
        <w:pStyle w:val="4"/>
        <w:spacing w:line="360" w:lineRule="auto"/>
        <w:ind w:firstLine="480" w:firstLineChars="200"/>
        <w:rPr>
          <w:rFonts w:ascii="宋体" w:hAnsi="宋体" w:cs="宋体"/>
          <w:color w:val="auto"/>
          <w:kern w:val="0"/>
          <w:sz w:val="24"/>
          <w:highlight w:val="none"/>
        </w:rPr>
      </w:pPr>
      <w:r>
        <w:rPr>
          <w:rFonts w:hint="default" w:ascii="宋体" w:hAnsi="宋体" w:cs="宋体"/>
          <w:color w:val="auto"/>
          <w:kern w:val="0"/>
          <w:sz w:val="24"/>
          <w:highlight w:val="none"/>
        </w:rPr>
        <w:t>10</w:t>
      </w:r>
      <w:r>
        <w:rPr>
          <w:rFonts w:hint="eastAsia" w:ascii="宋体" w:hAnsi="宋体" w:cs="宋体"/>
          <w:color w:val="auto"/>
          <w:kern w:val="0"/>
          <w:sz w:val="24"/>
          <w:highlight w:val="none"/>
        </w:rPr>
        <w:t>.乙方承诺</w:t>
      </w:r>
      <w:r>
        <w:rPr>
          <w:rFonts w:ascii="宋体" w:hAnsi="宋体" w:eastAsia="宋体" w:cs="宋体"/>
          <w:color w:val="auto"/>
          <w:sz w:val="24"/>
          <w:szCs w:val="24"/>
          <w:highlight w:val="none"/>
        </w:rPr>
        <w:t>为本项目配备的原厂维修工程师。（提供工程师名单、工作证和身份证复印件，并提供在项目所在地的座机服务电话和手机）或</w:t>
      </w:r>
      <w:r>
        <w:rPr>
          <w:rFonts w:hint="eastAsia" w:ascii="宋体" w:hAnsi="宋体" w:cs="宋体"/>
          <w:color w:val="auto"/>
          <w:sz w:val="24"/>
          <w:szCs w:val="24"/>
          <w:highlight w:val="none"/>
          <w:lang w:val="en-US" w:eastAsia="zh-CN"/>
        </w:rPr>
        <w:t>乙方</w:t>
      </w:r>
      <w:r>
        <w:rPr>
          <w:rFonts w:ascii="宋体" w:hAnsi="宋体" w:eastAsia="宋体" w:cs="宋体"/>
          <w:color w:val="auto"/>
          <w:sz w:val="24"/>
          <w:szCs w:val="24"/>
          <w:highlight w:val="none"/>
        </w:rPr>
        <w:t>提供书面承诺函，承诺中标后1个月内，在项目所在地省份提供原厂的维修工程师进行服务（提供</w:t>
      </w:r>
      <w:r>
        <w:rPr>
          <w:rFonts w:hint="eastAsia" w:ascii="宋体" w:hAnsi="宋体" w:cs="宋体"/>
          <w:color w:val="auto"/>
          <w:sz w:val="24"/>
          <w:szCs w:val="24"/>
          <w:highlight w:val="none"/>
          <w:lang w:val="en-US" w:eastAsia="zh-CN"/>
        </w:rPr>
        <w:t>乙方</w:t>
      </w:r>
      <w:r>
        <w:rPr>
          <w:rFonts w:ascii="宋体" w:hAnsi="宋体" w:eastAsia="宋体" w:cs="宋体"/>
          <w:color w:val="auto"/>
          <w:sz w:val="24"/>
          <w:szCs w:val="24"/>
          <w:highlight w:val="none"/>
        </w:rPr>
        <w:t>的承诺函原件）。</w:t>
      </w:r>
    </w:p>
    <w:p w14:paraId="5455E296">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第十</w:t>
      </w:r>
      <w:r>
        <w:rPr>
          <w:rFonts w:hint="eastAsia" w:hAnsi="宋体" w:cs="宋体"/>
          <w:b/>
          <w:bCs/>
          <w:color w:val="auto"/>
          <w:sz w:val="24"/>
          <w:szCs w:val="24"/>
          <w:highlight w:val="none"/>
          <w:lang w:val="en-US" w:eastAsia="zh-CN"/>
        </w:rPr>
        <w:t>三</w:t>
      </w:r>
      <w:r>
        <w:rPr>
          <w:rFonts w:hint="eastAsia" w:hAnsi="宋体" w:cs="宋体"/>
          <w:b/>
          <w:bCs/>
          <w:color w:val="auto"/>
          <w:sz w:val="24"/>
          <w:szCs w:val="24"/>
          <w:highlight w:val="none"/>
        </w:rPr>
        <w:t>条 索赔(违约责任)</w:t>
      </w:r>
    </w:p>
    <w:p w14:paraId="0F92BDDC">
      <w:pPr>
        <w:spacing w:line="360" w:lineRule="auto"/>
        <w:rPr>
          <w:rFonts w:hAnsi="宋体" w:cs="宋体"/>
          <w:color w:val="auto"/>
          <w:sz w:val="24"/>
          <w:szCs w:val="24"/>
          <w:highlight w:val="none"/>
        </w:rPr>
      </w:pPr>
      <w:r>
        <w:rPr>
          <w:rFonts w:hint="eastAsia" w:hAnsi="宋体" w:cs="宋体"/>
          <w:color w:val="auto"/>
          <w:sz w:val="24"/>
          <w:szCs w:val="24"/>
          <w:highlight w:val="none"/>
        </w:rPr>
        <w:t xml:space="preserve">    1.甲乙双方违反本合同约定的，应按照合同约定承担相应的违约责任；若合同未明确约定违约责任的，一方违约，不执行、不遵守合同约定条款，且在另一方发出书面或者电话通知后的10天内仍未采取弥补措施的，另一方有权单方面解除本合同，并要求违约方承担合同价款20%的违约金，如违约金金额低于实际损失的，违约方必须另外予以补偿。</w:t>
      </w:r>
    </w:p>
    <w:p w14:paraId="73EF3964">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2.乙方未按照本合同约定交货</w:t>
      </w:r>
      <w:r>
        <w:rPr>
          <w:rFonts w:hint="eastAsia" w:hAnsi="宋体" w:cs="宋体"/>
          <w:color w:val="auto"/>
          <w:sz w:val="24"/>
          <w:szCs w:val="24"/>
          <w:highlight w:val="none"/>
          <w:lang w:val="en-US" w:eastAsia="zh-Hans"/>
        </w:rPr>
        <w:t>或安装</w:t>
      </w:r>
      <w:r>
        <w:rPr>
          <w:rFonts w:hint="eastAsia" w:hAnsi="宋体" w:cs="宋体"/>
          <w:color w:val="auto"/>
          <w:sz w:val="24"/>
          <w:szCs w:val="24"/>
          <w:highlight w:val="none"/>
        </w:rPr>
        <w:t>的，每逾期一天则按本合同总金额的0.5％作为违约金支付给甲方。（如因甲方场地</w:t>
      </w:r>
      <w:r>
        <w:rPr>
          <w:rFonts w:hint="eastAsia" w:hAnsi="宋体" w:cs="宋体"/>
          <w:color w:val="auto"/>
          <w:sz w:val="24"/>
          <w:szCs w:val="24"/>
          <w:highlight w:val="none"/>
          <w:lang w:val="en-US" w:eastAsia="zh-CN"/>
        </w:rPr>
        <w:t>等</w:t>
      </w:r>
      <w:r>
        <w:rPr>
          <w:rFonts w:hint="eastAsia" w:hAnsi="宋体" w:cs="宋体"/>
          <w:color w:val="auto"/>
          <w:sz w:val="24"/>
          <w:szCs w:val="24"/>
          <w:highlight w:val="none"/>
        </w:rPr>
        <w:t>原因延迟到货除外）。</w:t>
      </w:r>
    </w:p>
    <w:p w14:paraId="7047735A">
      <w:pPr>
        <w:spacing w:line="360" w:lineRule="auto"/>
        <w:ind w:firstLine="480" w:firstLineChars="200"/>
        <w:rPr>
          <w:rFonts w:hAnsi="宋体" w:cs="宋体"/>
          <w:b/>
          <w:bCs/>
          <w:color w:val="auto"/>
          <w:sz w:val="24"/>
          <w:szCs w:val="24"/>
          <w:highlight w:val="none"/>
        </w:rPr>
      </w:pPr>
      <w:r>
        <w:rPr>
          <w:rFonts w:hint="default" w:hAnsi="宋体" w:cs="宋体"/>
          <w:color w:val="auto"/>
          <w:sz w:val="24"/>
          <w:szCs w:val="24"/>
          <w:highlight w:val="none"/>
        </w:rPr>
        <w:t>3</w:t>
      </w:r>
      <w:r>
        <w:rPr>
          <w:rFonts w:hint="eastAsia" w:hAnsi="宋体" w:cs="宋体"/>
          <w:color w:val="auto"/>
          <w:sz w:val="24"/>
          <w:szCs w:val="24"/>
          <w:highlight w:val="none"/>
          <w:lang w:val="en-US" w:eastAsia="zh-Hans"/>
        </w:rPr>
        <w:t>.</w:t>
      </w:r>
      <w:r>
        <w:rPr>
          <w:rFonts w:hint="eastAsia" w:hAnsi="宋体" w:cs="宋体"/>
          <w:color w:val="auto"/>
          <w:sz w:val="24"/>
          <w:szCs w:val="24"/>
          <w:highlight w:val="none"/>
        </w:rPr>
        <w:t>乙方对本合同涉及的设备专机专用的日常使用消耗品（耗材/试剂）作出承诺，承诺内容为：</w:t>
      </w:r>
      <w:r>
        <w:rPr>
          <w:rFonts w:hint="eastAsia" w:hAnsi="宋体" w:cs="宋体"/>
          <w:b/>
          <w:bCs/>
          <w:color w:val="auto"/>
          <w:sz w:val="24"/>
          <w:szCs w:val="24"/>
          <w:highlight w:val="none"/>
        </w:rPr>
        <w:t>（是 或 否）专机专用。</w:t>
      </w:r>
      <w:r>
        <w:rPr>
          <w:rFonts w:hint="eastAsia" w:hAnsi="宋体" w:cs="宋体"/>
          <w:color w:val="auto"/>
          <w:sz w:val="24"/>
          <w:szCs w:val="24"/>
          <w:highlight w:val="none"/>
        </w:rPr>
        <w:t>如甲方经核实后发现乙方所作承诺为虚假承诺，乙方将对甲方的损失进行赔偿，并承担合同款20%的违约金，如情节严重甲方有权终止合同。</w:t>
      </w:r>
    </w:p>
    <w:p w14:paraId="5BC03CE8">
      <w:pPr>
        <w:spacing w:line="360" w:lineRule="auto"/>
        <w:ind w:firstLine="0" w:firstLineChars="0"/>
        <w:jc w:val="both"/>
        <w:rPr>
          <w:rFonts w:hint="eastAsia" w:hAnsi="宋体" w:cs="宋体"/>
          <w:color w:val="auto"/>
          <w:sz w:val="24"/>
          <w:szCs w:val="24"/>
          <w:highlight w:val="none"/>
        </w:rPr>
      </w:pPr>
      <w:r>
        <w:rPr>
          <w:rFonts w:hint="eastAsia" w:hAnsi="宋体" w:cs="宋体"/>
          <w:b/>
          <w:bCs/>
          <w:color w:val="auto"/>
          <w:sz w:val="24"/>
          <w:szCs w:val="24"/>
          <w:highlight w:val="none"/>
        </w:rPr>
        <w:t>第十</w:t>
      </w:r>
      <w:r>
        <w:rPr>
          <w:rFonts w:hint="eastAsia" w:hAnsi="宋体" w:cs="宋体"/>
          <w:b/>
          <w:bCs/>
          <w:color w:val="auto"/>
          <w:sz w:val="24"/>
          <w:szCs w:val="24"/>
          <w:highlight w:val="none"/>
          <w:lang w:val="en-US" w:eastAsia="zh-CN"/>
        </w:rPr>
        <w:t>四</w:t>
      </w:r>
      <w:r>
        <w:rPr>
          <w:rFonts w:hint="eastAsia" w:hAnsi="宋体" w:cs="宋体"/>
          <w:b/>
          <w:bCs/>
          <w:color w:val="auto"/>
          <w:sz w:val="24"/>
          <w:szCs w:val="24"/>
          <w:highlight w:val="none"/>
        </w:rPr>
        <w:t>条 付款方式</w:t>
      </w:r>
    </w:p>
    <w:p w14:paraId="566E582B">
      <w:pPr>
        <w:spacing w:line="360" w:lineRule="auto"/>
        <w:ind w:firstLine="480" w:firstLineChars="200"/>
        <w:jc w:val="left"/>
        <w:rPr>
          <w:rFonts w:hint="eastAsia" w:hAnsi="宋体" w:cs="宋体"/>
          <w:color w:val="auto"/>
          <w:sz w:val="24"/>
          <w:szCs w:val="24"/>
          <w:highlight w:val="none"/>
        </w:rPr>
      </w:pPr>
      <w:r>
        <w:rPr>
          <w:rFonts w:hint="default" w:hAnsi="宋体" w:cs="宋体"/>
          <w:color w:val="auto"/>
          <w:sz w:val="24"/>
          <w:szCs w:val="24"/>
          <w:highlight w:val="none"/>
        </w:rPr>
        <w:t>1</w:t>
      </w:r>
      <w:r>
        <w:rPr>
          <w:rFonts w:hint="eastAsia" w:hAnsi="宋体" w:cs="宋体"/>
          <w:color w:val="auto"/>
          <w:sz w:val="24"/>
          <w:szCs w:val="24"/>
          <w:highlight w:val="none"/>
        </w:rPr>
        <w:t>.</w:t>
      </w:r>
      <w:r>
        <w:rPr>
          <w:rFonts w:hint="eastAsia" w:ascii="宋体" w:hAnsi="宋体" w:eastAsia="宋体" w:cs="宋体"/>
          <w:color w:val="auto"/>
          <w:sz w:val="24"/>
          <w:szCs w:val="24"/>
          <w:highlight w:val="none"/>
        </w:rPr>
        <w:t>货物可按</w:t>
      </w:r>
      <w:r>
        <w:rPr>
          <w:rFonts w:hint="eastAsia" w:ascii="宋体" w:hAnsi="宋体" w:eastAsia="宋体" w:cs="宋体"/>
          <w:color w:val="auto"/>
          <w:sz w:val="24"/>
          <w:szCs w:val="24"/>
          <w:highlight w:val="none"/>
          <w:lang w:val="en-US" w:eastAsia="zh-CN"/>
        </w:rPr>
        <w:t>本合同第二条设备清单，结合甲方</w:t>
      </w:r>
      <w:r>
        <w:rPr>
          <w:rFonts w:hint="eastAsia" w:ascii="宋体" w:hAnsi="宋体" w:eastAsia="宋体" w:cs="宋体"/>
          <w:color w:val="auto"/>
          <w:sz w:val="24"/>
          <w:szCs w:val="24"/>
          <w:highlight w:val="none"/>
        </w:rPr>
        <w:t>实际需求</w:t>
      </w:r>
      <w:r>
        <w:rPr>
          <w:rFonts w:hint="eastAsia" w:ascii="宋体" w:hAnsi="宋体" w:eastAsia="宋体" w:cs="宋体"/>
          <w:color w:val="auto"/>
          <w:sz w:val="24"/>
          <w:szCs w:val="24"/>
          <w:highlight w:val="none"/>
          <w:lang w:val="en-US" w:eastAsia="zh-CN"/>
        </w:rPr>
        <w:t>据实结算。</w:t>
      </w:r>
      <w:r>
        <w:rPr>
          <w:rFonts w:hint="eastAsia" w:hAnsi="宋体" w:cs="宋体"/>
          <w:color w:val="auto"/>
          <w:sz w:val="24"/>
          <w:szCs w:val="24"/>
          <w:highlight w:val="none"/>
        </w:rPr>
        <w:t>产品运抵交货地点后,经甲、乙双方清点无误、安装调试完毕、功能验收合格无异议，甲方凭乙方开具的</w:t>
      </w:r>
      <w:r>
        <w:rPr>
          <w:rFonts w:hint="eastAsia" w:ascii="宋体" w:hAnsi="宋体" w:eastAsia="宋体" w:cs="宋体"/>
          <w:color w:val="auto"/>
          <w:sz w:val="24"/>
          <w:szCs w:val="24"/>
          <w:highlight w:val="none"/>
          <w:lang w:val="en-US" w:eastAsia="zh-CN"/>
        </w:rPr>
        <w:t>实际送货数量的</w:t>
      </w:r>
      <w:r>
        <w:rPr>
          <w:rFonts w:hint="eastAsia" w:ascii="宋体" w:hAnsi="宋体" w:eastAsia="宋体" w:cs="宋体"/>
          <w:color w:val="auto"/>
          <w:sz w:val="24"/>
          <w:szCs w:val="24"/>
          <w:highlight w:val="none"/>
        </w:rPr>
        <w:t>正规发票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实际送货数量不超过设备清单数量</w:t>
      </w:r>
      <w:r>
        <w:rPr>
          <w:rFonts w:hint="eastAsia" w:ascii="宋体" w:hAnsi="宋体" w:eastAsia="宋体" w:cs="宋体"/>
          <w:color w:val="auto"/>
          <w:sz w:val="24"/>
          <w:szCs w:val="24"/>
          <w:highlight w:val="none"/>
          <w:lang w:eastAsia="zh-CN"/>
        </w:rPr>
        <w:t>）</w:t>
      </w:r>
      <w:r>
        <w:rPr>
          <w:rFonts w:hint="eastAsia" w:hAnsi="宋体" w:cs="宋体"/>
          <w:color w:val="auto"/>
          <w:sz w:val="24"/>
          <w:szCs w:val="24"/>
          <w:highlight w:val="none"/>
        </w:rPr>
        <w:t>，达到付款条件后10个工作日内以银行转账方式向乙方支付货款，即人民币（大写）：</w:t>
      </w:r>
      <w:r>
        <w:rPr>
          <w:rFonts w:hint="eastAsia" w:hAnsi="宋体" w:cs="宋体"/>
          <w:color w:val="auto"/>
          <w:sz w:val="24"/>
          <w:szCs w:val="24"/>
          <w:highlight w:val="none"/>
          <w:u w:val="single"/>
        </w:rPr>
        <w:t xml:space="preserve">       元整(¥       万元</w:t>
      </w:r>
      <w:r>
        <w:rPr>
          <w:rFonts w:hint="eastAsia" w:hAnsi="宋体" w:cs="宋体"/>
          <w:bCs/>
          <w:color w:val="auto"/>
          <w:sz w:val="24"/>
          <w:szCs w:val="24"/>
          <w:highlight w:val="none"/>
        </w:rPr>
        <w:t>）</w:t>
      </w:r>
      <w:r>
        <w:rPr>
          <w:rFonts w:hint="eastAsia" w:hAnsi="宋体" w:cs="宋体"/>
          <w:color w:val="auto"/>
          <w:sz w:val="24"/>
          <w:szCs w:val="24"/>
          <w:highlight w:val="none"/>
        </w:rPr>
        <w:t>。若乙方所供产品经验收不合格，甲方有权拒绝接收，因此产生的相关费用由乙方自行承担并承担由此造成的违约责任。</w:t>
      </w:r>
    </w:p>
    <w:p w14:paraId="6974FB54">
      <w:pPr>
        <w:spacing w:line="360" w:lineRule="auto"/>
        <w:ind w:firstLine="480" w:firstLineChars="200"/>
        <w:rPr>
          <w:rFonts w:hint="eastAsia" w:hAnsi="宋体" w:cs="宋体"/>
          <w:color w:val="auto"/>
          <w:sz w:val="24"/>
          <w:szCs w:val="24"/>
          <w:highlight w:val="none"/>
        </w:rPr>
      </w:pPr>
      <w:r>
        <w:rPr>
          <w:rFonts w:hint="default" w:hAnsi="宋体" w:cs="宋体"/>
          <w:color w:val="auto"/>
          <w:sz w:val="24"/>
          <w:szCs w:val="24"/>
          <w:highlight w:val="none"/>
        </w:rPr>
        <w:t>2</w:t>
      </w:r>
      <w:r>
        <w:rPr>
          <w:rFonts w:hint="eastAsia" w:hAnsi="宋体" w:cs="宋体"/>
          <w:color w:val="auto"/>
          <w:sz w:val="24"/>
          <w:szCs w:val="24"/>
          <w:highlight w:val="none"/>
        </w:rPr>
        <w:t>.在甲方转账之前，乙方应按国家有关规定开具并向甲方交付合规的发票。甲方只在收到所有合格的支付凭证并经审核通过后，才向乙方支付。如因乙方未能及时提交所需的相关资料和票据、或提交的资料和票据不能满足甲方的付款要求，造成付款延误的，甲方不承担逾期付款的责任。如乙方在收到甲方通知后逾期满三年仍未按照甲方要求提交或者补足付款所需的相关资料和票据的,则甲方届时有权不予支付乙方相应货款，若甲方决定继续受理乙方的付款申请，并经甲方核实后确需向乙方付款的，甲方有权按照医院的付款计划及年度预算安排等情况自行决定支付时间，乙方应无条件接受。</w:t>
      </w:r>
    </w:p>
    <w:p w14:paraId="23DCEE80">
      <w:pPr>
        <w:pStyle w:val="4"/>
        <w:spacing w:line="360" w:lineRule="auto"/>
        <w:ind w:firstLine="480" w:firstLineChars="200"/>
        <w:rPr>
          <w:rFonts w:hint="eastAsia" w:ascii="宋体" w:hAnsi="宋体" w:cs="宋体"/>
          <w:color w:val="auto"/>
          <w:sz w:val="24"/>
          <w:highlight w:val="none"/>
        </w:rPr>
      </w:pPr>
      <w:r>
        <w:rPr>
          <w:rFonts w:hint="default" w:ascii="宋体" w:hAnsi="宋体" w:cs="宋体"/>
          <w:color w:val="auto"/>
          <w:sz w:val="24"/>
          <w:highlight w:val="none"/>
        </w:rPr>
        <w:t>3</w:t>
      </w:r>
      <w:r>
        <w:rPr>
          <w:rFonts w:hint="eastAsia" w:ascii="宋体" w:hAnsi="宋体" w:cs="宋体"/>
          <w:color w:val="auto"/>
          <w:sz w:val="24"/>
          <w:highlight w:val="none"/>
        </w:rPr>
        <w:t>.付款方式：银行转账，甲方不得以现金方式支付货款，甲方须将货款汇付至本合同约定的乙方指定账号。</w:t>
      </w:r>
    </w:p>
    <w:p w14:paraId="505A0A12">
      <w:pPr>
        <w:pStyle w:val="4"/>
        <w:spacing w:line="360" w:lineRule="auto"/>
        <w:ind w:firstLine="480" w:firstLineChars="200"/>
        <w:rPr>
          <w:rFonts w:hint="eastAsia" w:ascii="宋体" w:hAnsi="宋体" w:cs="宋体"/>
          <w:color w:val="auto"/>
          <w:sz w:val="24"/>
          <w:highlight w:val="none"/>
        </w:rPr>
      </w:pPr>
      <w:r>
        <w:rPr>
          <w:rFonts w:hint="default" w:ascii="宋体" w:hAnsi="宋体" w:cs="宋体"/>
          <w:color w:val="auto"/>
          <w:sz w:val="24"/>
          <w:highlight w:val="none"/>
        </w:rPr>
        <w:t>4</w:t>
      </w:r>
      <w:r>
        <w:rPr>
          <w:rFonts w:hint="eastAsia" w:ascii="宋体" w:hAnsi="宋体" w:cs="宋体"/>
          <w:color w:val="auto"/>
          <w:sz w:val="24"/>
          <w:highlight w:val="none"/>
        </w:rPr>
        <w:t xml:space="preserve">. 乙方应保证其在本合同中向甲方提供的收款账户信息准确无误，若因乙方原因导致甲方无法按时付款的，甲方不承担迟延付款责任；若乙方变更收款账号或收款方式的，需书面告知甲方，否则甲方按原付款方式向乙方付款的，视为甲方已完成付款义务。 </w:t>
      </w:r>
    </w:p>
    <w:p w14:paraId="1E32746D">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第十</w:t>
      </w:r>
      <w:r>
        <w:rPr>
          <w:rFonts w:hint="eastAsia" w:hAnsi="宋体" w:cs="宋体"/>
          <w:b/>
          <w:bCs/>
          <w:color w:val="auto"/>
          <w:sz w:val="24"/>
          <w:szCs w:val="24"/>
          <w:highlight w:val="none"/>
          <w:lang w:val="en-US" w:eastAsia="zh-CN"/>
        </w:rPr>
        <w:t>五</w:t>
      </w:r>
      <w:r>
        <w:rPr>
          <w:rFonts w:hint="eastAsia" w:hAnsi="宋体" w:cs="宋体"/>
          <w:b/>
          <w:bCs/>
          <w:color w:val="auto"/>
          <w:sz w:val="24"/>
          <w:szCs w:val="24"/>
          <w:highlight w:val="none"/>
        </w:rPr>
        <w:t>条 不可抗力</w:t>
      </w:r>
    </w:p>
    <w:p w14:paraId="4A6082BA">
      <w:pPr>
        <w:spacing w:line="44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1.如果遇到自然灾害及其他不可抗力事件而影响合同履行时，乙方应在三个工作日内以书面形式通知甲方并附权威机构出具的证明材料。若不可抗力原因影响本合同执行时间超过一个月，甲乙双方应在不可抗力事件发生后</w:t>
      </w:r>
      <w:r>
        <w:rPr>
          <w:rFonts w:hint="default" w:hAnsi="宋体" w:cs="宋体"/>
          <w:color w:val="auto"/>
          <w:sz w:val="24"/>
          <w:szCs w:val="24"/>
          <w:highlight w:val="none"/>
        </w:rPr>
        <w:t>5</w:t>
      </w:r>
      <w:r>
        <w:rPr>
          <w:rFonts w:hint="eastAsia" w:hAnsi="宋体" w:cs="宋体"/>
          <w:color w:val="auto"/>
          <w:sz w:val="24"/>
          <w:szCs w:val="24"/>
          <w:highlight w:val="none"/>
        </w:rPr>
        <w:t>日内友好协商解决，协商解决不成的，双方均有权解除合同，但应提前十日以书面形式通知对方，已支付或已收取的合同款项应予以退还给对方。</w:t>
      </w:r>
    </w:p>
    <w:p w14:paraId="2006AAA0">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2.因重大公共安全卫生事件影响合同履行的，由甲乙双方协商决定合同履行事宜。</w:t>
      </w:r>
    </w:p>
    <w:p w14:paraId="1A3989FC">
      <w:pPr>
        <w:spacing w:line="360" w:lineRule="auto"/>
        <w:ind w:left="361" w:hanging="361" w:hangingChars="15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w:t>
      </w:r>
      <w:r>
        <w:rPr>
          <w:rFonts w:hint="eastAsia"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lang w:val="en-US" w:eastAsia="zh-CN"/>
        </w:rPr>
        <w:t>条 访问限制</w:t>
      </w:r>
    </w:p>
    <w:p w14:paraId="7809441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乙方不得联网监测设备运行情况，包含且不限于访问、读取、修改和存储等系统操作。若确需监测的须经甲方书面同意并另行签订《数据保密协议》约定相关事宜。否则甲方有权要求乙方按照本合同第十</w:t>
      </w:r>
      <w:r>
        <w:rPr>
          <w:rFonts w:hint="eastAsia"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val="en-US" w:eastAsia="zh-CN"/>
        </w:rPr>
        <w:t>条的约定承担违约责任。</w:t>
      </w:r>
    </w:p>
    <w:p w14:paraId="2610D4EA">
      <w:pPr>
        <w:spacing w:line="360" w:lineRule="auto"/>
        <w:ind w:left="361" w:hanging="360" w:hangingChars="150"/>
        <w:rPr>
          <w:rFonts w:hAnsi="宋体" w:cs="宋体"/>
          <w:b/>
          <w:bCs/>
          <w:color w:val="auto"/>
          <w:sz w:val="24"/>
          <w:szCs w:val="24"/>
          <w:highlight w:val="none"/>
        </w:rPr>
      </w:pPr>
      <w:r>
        <w:rPr>
          <w:rFonts w:hint="eastAsia" w:hAnsi="宋体" w:cs="宋体"/>
          <w:b/>
          <w:bCs/>
          <w:color w:val="auto"/>
          <w:sz w:val="24"/>
          <w:szCs w:val="24"/>
          <w:highlight w:val="none"/>
        </w:rPr>
        <w:t>第十</w:t>
      </w:r>
      <w:r>
        <w:rPr>
          <w:rFonts w:hint="eastAsia" w:hAnsi="宋体" w:cs="宋体"/>
          <w:b/>
          <w:bCs/>
          <w:color w:val="auto"/>
          <w:sz w:val="24"/>
          <w:szCs w:val="24"/>
          <w:highlight w:val="none"/>
          <w:lang w:val="en-US" w:eastAsia="zh-CN"/>
        </w:rPr>
        <w:t>七</w:t>
      </w:r>
      <w:r>
        <w:rPr>
          <w:rFonts w:hint="eastAsia" w:hAnsi="宋体" w:cs="宋体"/>
          <w:b/>
          <w:bCs/>
          <w:color w:val="auto"/>
          <w:sz w:val="24"/>
          <w:szCs w:val="24"/>
          <w:highlight w:val="none"/>
        </w:rPr>
        <w:t>条 争议的解决</w:t>
      </w:r>
    </w:p>
    <w:p w14:paraId="03F3FB57">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凡因本合同引起的或与本合同有关的任何争议，双方应通过友好协商解决。如果协商不能解决，交由甲方所在地人民法院管辖，在诉讼期间，除正在进行诉讼部分外，合同其他部分继续执行,诉讼产生的律师、保全、保函、鉴定等必要的费用由</w:t>
      </w:r>
      <w:r>
        <w:rPr>
          <w:rFonts w:hint="eastAsia" w:hAnsi="宋体" w:cs="宋体"/>
          <w:color w:val="auto"/>
          <w:sz w:val="24"/>
          <w:szCs w:val="24"/>
          <w:highlight w:val="none"/>
          <w:lang w:val="en-US" w:eastAsia="zh-CN"/>
        </w:rPr>
        <w:t>违约方</w:t>
      </w:r>
      <w:r>
        <w:rPr>
          <w:rFonts w:hint="eastAsia" w:hAnsi="宋体" w:cs="宋体"/>
          <w:color w:val="auto"/>
          <w:sz w:val="24"/>
          <w:szCs w:val="24"/>
          <w:highlight w:val="none"/>
        </w:rPr>
        <w:t>承担。</w:t>
      </w:r>
    </w:p>
    <w:p w14:paraId="446926CD">
      <w:pPr>
        <w:spacing w:line="360" w:lineRule="auto"/>
        <w:ind w:left="-315" w:leftChars="-150"/>
        <w:rPr>
          <w:rFonts w:hAnsi="宋体" w:cs="宋体"/>
          <w:b/>
          <w:bCs/>
          <w:color w:val="auto"/>
          <w:sz w:val="24"/>
          <w:szCs w:val="24"/>
          <w:highlight w:val="none"/>
        </w:rPr>
      </w:pPr>
      <w:r>
        <w:rPr>
          <w:rFonts w:hint="eastAsia" w:hAnsi="宋体" w:cs="宋体"/>
          <w:b/>
          <w:bCs/>
          <w:color w:val="auto"/>
          <w:sz w:val="24"/>
          <w:szCs w:val="24"/>
          <w:highlight w:val="none"/>
        </w:rPr>
        <w:t xml:space="preserve">   第十</w:t>
      </w:r>
      <w:r>
        <w:rPr>
          <w:rFonts w:hint="eastAsia" w:hAnsi="宋体" w:cs="宋体"/>
          <w:b/>
          <w:bCs/>
          <w:color w:val="auto"/>
          <w:sz w:val="24"/>
          <w:szCs w:val="24"/>
          <w:highlight w:val="none"/>
          <w:lang w:val="en-US" w:eastAsia="zh-CN"/>
        </w:rPr>
        <w:t>八</w:t>
      </w:r>
      <w:r>
        <w:rPr>
          <w:rFonts w:hint="eastAsia" w:hAnsi="宋体" w:cs="宋体"/>
          <w:b/>
          <w:bCs/>
          <w:color w:val="auto"/>
          <w:sz w:val="24"/>
          <w:szCs w:val="24"/>
          <w:highlight w:val="none"/>
        </w:rPr>
        <w:t>条 其他约定</w:t>
      </w:r>
    </w:p>
    <w:p w14:paraId="4AB742D4">
      <w:pPr>
        <w:spacing w:line="360" w:lineRule="auto"/>
        <w:ind w:firstLine="480" w:firstLineChars="200"/>
        <w:rPr>
          <w:rFonts w:hAnsi="宋体" w:cs="宋体"/>
          <w:b/>
          <w:color w:val="auto"/>
          <w:sz w:val="24"/>
          <w:szCs w:val="24"/>
          <w:highlight w:val="none"/>
        </w:rPr>
      </w:pPr>
      <w:r>
        <w:rPr>
          <w:rFonts w:hint="eastAsia" w:hAnsi="宋体" w:cs="宋体"/>
          <w:bCs/>
          <w:color w:val="auto"/>
          <w:sz w:val="24"/>
          <w:szCs w:val="24"/>
          <w:highlight w:val="none"/>
        </w:rPr>
        <w:t>1.乙方承诺，甲方所购设备可对比相同品牌、规格、型号产品，如甲方</w:t>
      </w:r>
      <w:r>
        <w:rPr>
          <w:rFonts w:ascii="宋体" w:hAnsi="宋体" w:eastAsia="宋体" w:cs="宋体"/>
          <w:color w:val="auto"/>
          <w:sz w:val="24"/>
          <w:szCs w:val="24"/>
          <w:highlight w:val="none"/>
        </w:rPr>
        <w:t>在</w:t>
      </w:r>
      <w:r>
        <w:rPr>
          <w:rFonts w:hint="eastAsia" w:hAnsi="宋体" w:eastAsia="宋体" w:cs="宋体"/>
          <w:color w:val="auto"/>
          <w:sz w:val="24"/>
          <w:szCs w:val="24"/>
          <w:highlight w:val="none"/>
          <w:lang w:val="en-US" w:eastAsia="zh-CN"/>
        </w:rPr>
        <w:t>乙方</w:t>
      </w:r>
      <w:r>
        <w:rPr>
          <w:rFonts w:ascii="宋体" w:hAnsi="宋体" w:eastAsia="宋体" w:cs="宋体"/>
          <w:color w:val="auto"/>
          <w:sz w:val="24"/>
          <w:szCs w:val="24"/>
          <w:highlight w:val="none"/>
        </w:rPr>
        <w:t>承诺的本项目投标有效期内</w:t>
      </w:r>
      <w:r>
        <w:rPr>
          <w:rFonts w:hint="eastAsia" w:hAnsi="宋体" w:cs="宋体"/>
          <w:bCs/>
          <w:color w:val="auto"/>
          <w:sz w:val="24"/>
          <w:szCs w:val="24"/>
          <w:highlight w:val="none"/>
        </w:rPr>
        <w:t>发现招标采购价高于</w:t>
      </w:r>
      <w:r>
        <w:rPr>
          <w:rFonts w:hint="eastAsia" w:ascii="仿宋" w:hAnsi="仿宋" w:eastAsia="仿宋" w:cs="仿宋"/>
          <w:color w:val="auto"/>
          <w:sz w:val="28"/>
          <w:szCs w:val="28"/>
          <w:highlight w:val="none"/>
        </w:rPr>
        <w:t>四川地区医院的市场价格</w:t>
      </w:r>
      <w:r>
        <w:rPr>
          <w:rFonts w:hint="eastAsia" w:hAnsi="宋体" w:cs="宋体"/>
          <w:bCs/>
          <w:color w:val="auto"/>
          <w:sz w:val="24"/>
          <w:szCs w:val="24"/>
          <w:highlight w:val="none"/>
        </w:rPr>
        <w:t xml:space="preserve">情况，甲方有权要求乙方返还已支付高于市场价格部分货款。 </w:t>
      </w:r>
    </w:p>
    <w:p w14:paraId="2FDB08EC">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2.本合同附件为本合同有效组成部分，与本合同具有同等法律效力。</w:t>
      </w:r>
    </w:p>
    <w:p w14:paraId="76EC4881">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3.本合同自</w:t>
      </w:r>
      <w:r>
        <w:rPr>
          <w:rFonts w:hint="eastAsia" w:hAnsi="宋体" w:cs="宋体"/>
          <w:color w:val="auto"/>
          <w:sz w:val="24"/>
          <w:szCs w:val="24"/>
          <w:highlight w:val="none"/>
          <w:lang w:val="en-US" w:eastAsia="zh-Hans"/>
        </w:rPr>
        <w:t>甲乙</w:t>
      </w:r>
      <w:r>
        <w:rPr>
          <w:rFonts w:hint="eastAsia" w:hAnsi="宋体" w:cs="宋体"/>
          <w:color w:val="auto"/>
          <w:sz w:val="24"/>
          <w:szCs w:val="24"/>
          <w:highlight w:val="none"/>
        </w:rPr>
        <w:t>双方签字盖章之日起生效，合同执行期内，双方不可随意变更或解除合同。设备停止使用之日则合同自行终止。</w:t>
      </w:r>
    </w:p>
    <w:p w14:paraId="70A35F8A">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4.合同如有未尽事宜，以招投标文件为准。如有异议须经双方共同协商，做出补充协议，补充协议与本合同具有同等效力。</w:t>
      </w:r>
    </w:p>
    <w:p w14:paraId="45FB08A8">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5.本合同壹</w:t>
      </w:r>
      <w:r>
        <w:rPr>
          <w:rFonts w:hint="eastAsia" w:ascii="宋体" w:hAnsi="宋体" w:eastAsia="宋体" w:cs="宋体"/>
          <w:color w:val="auto"/>
          <w:sz w:val="24"/>
          <w:szCs w:val="24"/>
          <w:highlight w:val="none"/>
        </w:rPr>
        <w:t>式</w:t>
      </w:r>
      <w:r>
        <w:rPr>
          <w:rFonts w:hint="eastAsia" w:ascii="宋体" w:hAnsi="宋体" w:eastAsia="宋体" w:cs="宋体"/>
          <w:color w:val="auto"/>
          <w:sz w:val="24"/>
          <w:szCs w:val="24"/>
          <w:highlight w:val="none"/>
          <w:lang w:val="en-US" w:eastAsia="zh-CN"/>
        </w:rPr>
        <w:t>陆</w:t>
      </w:r>
      <w:r>
        <w:rPr>
          <w:rFonts w:hint="eastAsia" w:ascii="宋体" w:hAnsi="宋体" w:eastAsia="宋体" w:cs="宋体"/>
          <w:color w:val="auto"/>
          <w:sz w:val="24"/>
          <w:szCs w:val="24"/>
          <w:highlight w:val="none"/>
        </w:rPr>
        <w:t>份，</w:t>
      </w:r>
      <w:r>
        <w:rPr>
          <w:rFonts w:hint="eastAsia" w:hAnsi="宋体" w:cs="宋体"/>
          <w:color w:val="auto"/>
          <w:sz w:val="24"/>
          <w:szCs w:val="24"/>
          <w:highlight w:val="none"/>
        </w:rPr>
        <w:t>甲方保留</w:t>
      </w:r>
      <w:r>
        <w:rPr>
          <w:rFonts w:hint="eastAsia" w:hAnsi="宋体" w:cs="宋体"/>
          <w:color w:val="auto"/>
          <w:sz w:val="24"/>
          <w:szCs w:val="24"/>
          <w:highlight w:val="none"/>
          <w:lang w:val="en-US" w:eastAsia="zh-CN"/>
        </w:rPr>
        <w:t>肆</w:t>
      </w:r>
      <w:r>
        <w:rPr>
          <w:rFonts w:hint="eastAsia" w:hAnsi="宋体" w:cs="宋体"/>
          <w:color w:val="auto"/>
          <w:sz w:val="24"/>
          <w:szCs w:val="24"/>
          <w:highlight w:val="none"/>
        </w:rPr>
        <w:t>份，乙方保留贰份，均具同等法律效力。</w:t>
      </w:r>
    </w:p>
    <w:p w14:paraId="08E5D0BE">
      <w:pPr>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6.关于任何与本合同相关的文书均可按照合同签署页载明的联系方式寄送，任何一方变更联系方式应当在变更前3日内书面通知对方，否则，按照原联系方式寄送后3日内视为送达，无论邮件是否退回或拒收。双方因履行本合同涉诉的，上述地址亦作为法院文书送达地址。所有通知或联系事项，书面确认、传真、电报、电子邮件、微信、QQ或邮寄送达皆为有效方式。</w:t>
      </w:r>
    </w:p>
    <w:p w14:paraId="57E51AE2">
      <w:pPr>
        <w:pStyle w:val="4"/>
        <w:rPr>
          <w:color w:val="auto"/>
          <w:highlight w:val="none"/>
        </w:rPr>
      </w:pPr>
    </w:p>
    <w:p w14:paraId="7E421FAE">
      <w:pPr>
        <w:pStyle w:val="4"/>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附件：一、产品配置清单及分项价格表</w:t>
      </w:r>
    </w:p>
    <w:p w14:paraId="715A4B67">
      <w:pPr>
        <w:pStyle w:val="4"/>
        <w:numPr>
          <w:ilvl w:val="0"/>
          <w:numId w:val="3"/>
        </w:numP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易损件价格清单表</w:t>
      </w:r>
    </w:p>
    <w:p w14:paraId="23005278">
      <w:pPr>
        <w:pStyle w:val="4"/>
        <w:numPr>
          <w:ilvl w:val="0"/>
          <w:numId w:val="3"/>
        </w:numPr>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日常使用消耗品（耗材/试剂）价格清单表</w:t>
      </w:r>
    </w:p>
    <w:p w14:paraId="6D236CDD">
      <w:pPr>
        <w:spacing w:line="360" w:lineRule="auto"/>
        <w:rPr>
          <w:rFonts w:hint="eastAsia" w:hAnsi="宋体" w:cs="宋体"/>
          <w:color w:val="auto"/>
          <w:sz w:val="24"/>
          <w:szCs w:val="24"/>
          <w:highlight w:val="none"/>
        </w:rPr>
      </w:pPr>
    </w:p>
    <w:p w14:paraId="7A7DB03F">
      <w:pPr>
        <w:spacing w:line="360" w:lineRule="auto"/>
        <w:rPr>
          <w:rFonts w:hAnsi="宋体" w:cs="宋体"/>
          <w:color w:val="auto"/>
          <w:sz w:val="24"/>
          <w:highlight w:val="none"/>
        </w:rPr>
      </w:pPr>
      <w:r>
        <w:rPr>
          <w:rFonts w:hint="eastAsia" w:hAnsi="宋体" w:cs="宋体"/>
          <w:color w:val="auto"/>
          <w:sz w:val="24"/>
          <w:szCs w:val="24"/>
          <w:highlight w:val="none"/>
        </w:rPr>
        <w:t>（以下无正文）</w:t>
      </w:r>
    </w:p>
    <w:tbl>
      <w:tblPr>
        <w:tblStyle w:val="7"/>
        <w:tblW w:w="10036" w:type="dxa"/>
        <w:jc w:val="center"/>
        <w:tblLayout w:type="fixed"/>
        <w:tblCellMar>
          <w:top w:w="0" w:type="dxa"/>
          <w:left w:w="108" w:type="dxa"/>
          <w:bottom w:w="0" w:type="dxa"/>
          <w:right w:w="108" w:type="dxa"/>
        </w:tblCellMar>
      </w:tblPr>
      <w:tblGrid>
        <w:gridCol w:w="5040"/>
        <w:gridCol w:w="4996"/>
      </w:tblGrid>
      <w:tr w14:paraId="315AFA78">
        <w:tblPrEx>
          <w:tblCellMar>
            <w:top w:w="0" w:type="dxa"/>
            <w:left w:w="108" w:type="dxa"/>
            <w:bottom w:w="0" w:type="dxa"/>
            <w:right w:w="108" w:type="dxa"/>
          </w:tblCellMar>
        </w:tblPrEx>
        <w:trPr>
          <w:trHeight w:val="108" w:hRule="atLeast"/>
          <w:jc w:val="center"/>
        </w:trPr>
        <w:tc>
          <w:tcPr>
            <w:tcW w:w="5040" w:type="dxa"/>
            <w:tcBorders>
              <w:top w:val="single" w:color="000000" w:sz="4" w:space="0"/>
              <w:left w:val="single" w:color="000000" w:sz="4" w:space="0"/>
              <w:bottom w:val="nil"/>
              <w:right w:val="single" w:color="000000" w:sz="4" w:space="0"/>
            </w:tcBorders>
            <w:noWrap w:val="0"/>
            <w:tcMar>
              <w:top w:w="15" w:type="dxa"/>
              <w:left w:w="15" w:type="dxa"/>
              <w:bottom w:w="15" w:type="dxa"/>
              <w:right w:w="15" w:type="dxa"/>
            </w:tcMar>
            <w:vAlign w:val="center"/>
          </w:tcPr>
          <w:p w14:paraId="3666A4F3">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甲方（公章）：成都市第五人民医院</w:t>
            </w:r>
          </w:p>
        </w:tc>
        <w:tc>
          <w:tcPr>
            <w:tcW w:w="4996" w:type="dxa"/>
            <w:tcBorders>
              <w:top w:val="single" w:color="000000" w:sz="4" w:space="0"/>
              <w:left w:val="nil"/>
              <w:bottom w:val="nil"/>
              <w:right w:val="single" w:color="000000" w:sz="4" w:space="0"/>
            </w:tcBorders>
            <w:noWrap w:val="0"/>
            <w:tcMar>
              <w:top w:w="15" w:type="dxa"/>
              <w:left w:w="15" w:type="dxa"/>
              <w:bottom w:w="15" w:type="dxa"/>
              <w:right w:w="15" w:type="dxa"/>
            </w:tcMar>
            <w:vAlign w:val="center"/>
          </w:tcPr>
          <w:p w14:paraId="297410B6">
            <w:pPr>
              <w:widowControl/>
              <w:spacing w:line="360" w:lineRule="auto"/>
              <w:jc w:val="left"/>
              <w:textAlignment w:val="center"/>
              <w:rPr>
                <w:rFonts w:hint="eastAsia" w:hAnsi="宋体" w:eastAsia="宋体" w:cs="宋体"/>
                <w:color w:val="auto"/>
                <w:sz w:val="24"/>
                <w:szCs w:val="24"/>
                <w:highlight w:val="none"/>
                <w:lang w:val="en-US" w:eastAsia="zh-CN"/>
              </w:rPr>
            </w:pPr>
            <w:r>
              <w:rPr>
                <w:rFonts w:hint="eastAsia" w:hAnsi="宋体" w:cs="宋体"/>
                <w:color w:val="auto"/>
                <w:sz w:val="24"/>
                <w:szCs w:val="24"/>
                <w:highlight w:val="none"/>
              </w:rPr>
              <w:t>乙方（公章）：</w:t>
            </w:r>
          </w:p>
        </w:tc>
      </w:tr>
      <w:tr w14:paraId="59753E41">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nil"/>
              <w:right w:val="single" w:color="000000" w:sz="4" w:space="0"/>
            </w:tcBorders>
            <w:noWrap w:val="0"/>
            <w:tcMar>
              <w:top w:w="15" w:type="dxa"/>
              <w:left w:w="15" w:type="dxa"/>
              <w:bottom w:w="15" w:type="dxa"/>
              <w:right w:w="15" w:type="dxa"/>
            </w:tcMar>
            <w:vAlign w:val="center"/>
          </w:tcPr>
          <w:p w14:paraId="198FC5C8">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单位地址：成都市温江区麻市街33号</w:t>
            </w:r>
          </w:p>
        </w:tc>
        <w:tc>
          <w:tcPr>
            <w:tcW w:w="4996" w:type="dxa"/>
            <w:tcBorders>
              <w:top w:val="nil"/>
              <w:left w:val="nil"/>
              <w:bottom w:val="nil"/>
              <w:right w:val="single" w:color="000000" w:sz="4" w:space="0"/>
            </w:tcBorders>
            <w:noWrap w:val="0"/>
            <w:tcMar>
              <w:top w:w="15" w:type="dxa"/>
              <w:left w:w="15" w:type="dxa"/>
              <w:bottom w:w="15" w:type="dxa"/>
              <w:right w:w="15" w:type="dxa"/>
            </w:tcMar>
            <w:vAlign w:val="center"/>
          </w:tcPr>
          <w:p w14:paraId="095D0297">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单位地址：</w:t>
            </w:r>
            <w:r>
              <w:rPr>
                <w:rFonts w:hint="eastAsia" w:ascii="宋体" w:hAnsi="宋体" w:eastAsia="宋体" w:cs="宋体"/>
                <w:color w:val="auto"/>
                <w:sz w:val="24"/>
                <w:szCs w:val="24"/>
                <w:highlight w:val="none"/>
              </w:rPr>
              <w:t xml:space="preserve"> </w:t>
            </w:r>
          </w:p>
        </w:tc>
      </w:tr>
      <w:tr w14:paraId="32CC1168">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nil"/>
              <w:right w:val="single" w:color="000000" w:sz="4" w:space="0"/>
            </w:tcBorders>
            <w:noWrap w:val="0"/>
            <w:tcMar>
              <w:top w:w="15" w:type="dxa"/>
              <w:left w:w="15" w:type="dxa"/>
              <w:bottom w:w="15" w:type="dxa"/>
              <w:right w:w="15" w:type="dxa"/>
            </w:tcMar>
            <w:vAlign w:val="center"/>
          </w:tcPr>
          <w:p w14:paraId="72561DCA">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联系电话：028-</w:t>
            </w:r>
            <w:r>
              <w:rPr>
                <w:rFonts w:hAnsi="宋体" w:cs="宋体"/>
                <w:color w:val="auto"/>
                <w:sz w:val="24"/>
                <w:szCs w:val="24"/>
                <w:highlight w:val="none"/>
              </w:rPr>
              <w:t>82726368</w:t>
            </w:r>
          </w:p>
        </w:tc>
        <w:tc>
          <w:tcPr>
            <w:tcW w:w="4996" w:type="dxa"/>
            <w:tcBorders>
              <w:top w:val="nil"/>
              <w:left w:val="nil"/>
              <w:bottom w:val="nil"/>
              <w:right w:val="single" w:color="000000" w:sz="4" w:space="0"/>
            </w:tcBorders>
            <w:noWrap w:val="0"/>
            <w:tcMar>
              <w:top w:w="15" w:type="dxa"/>
              <w:left w:w="15" w:type="dxa"/>
              <w:bottom w:w="15" w:type="dxa"/>
              <w:right w:w="15" w:type="dxa"/>
            </w:tcMar>
            <w:vAlign w:val="center"/>
          </w:tcPr>
          <w:p w14:paraId="5D743ABF">
            <w:pPr>
              <w:widowControl/>
              <w:spacing w:line="360" w:lineRule="auto"/>
              <w:jc w:val="left"/>
              <w:textAlignment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rPr>
              <w:t>联系电话：</w:t>
            </w:r>
          </w:p>
        </w:tc>
      </w:tr>
      <w:tr w14:paraId="026491DD">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nil"/>
              <w:right w:val="single" w:color="000000" w:sz="4" w:space="0"/>
            </w:tcBorders>
            <w:noWrap w:val="0"/>
            <w:tcMar>
              <w:top w:w="15" w:type="dxa"/>
              <w:left w:w="15" w:type="dxa"/>
              <w:bottom w:w="15" w:type="dxa"/>
              <w:right w:w="15" w:type="dxa"/>
            </w:tcMar>
            <w:vAlign w:val="center"/>
          </w:tcPr>
          <w:p w14:paraId="0970FAA4">
            <w:pPr>
              <w:widowControl/>
              <w:spacing w:line="360" w:lineRule="auto"/>
              <w:jc w:val="left"/>
              <w:textAlignment w:val="center"/>
              <w:rPr>
                <w:rFonts w:hAnsi="宋体" w:cs="宋体"/>
                <w:color w:val="auto"/>
                <w:sz w:val="24"/>
                <w:szCs w:val="24"/>
                <w:highlight w:val="none"/>
              </w:rPr>
            </w:pPr>
            <w:r>
              <w:rPr>
                <w:rFonts w:hint="eastAsia" w:ascii="宋体" w:hAnsi="宋体" w:eastAsia="宋体" w:cs="宋体"/>
                <w:color w:val="auto"/>
                <w:sz w:val="24"/>
                <w:szCs w:val="24"/>
                <w:highlight w:val="none"/>
                <w:lang w:val="en-US" w:eastAsia="zh-CN"/>
              </w:rPr>
              <w:t>法定</w:t>
            </w:r>
            <w:r>
              <w:rPr>
                <w:rFonts w:hint="eastAsia" w:ascii="宋体" w:hAnsi="宋体" w:eastAsia="宋体" w:cs="宋体"/>
                <w:color w:val="auto"/>
                <w:sz w:val="24"/>
                <w:szCs w:val="24"/>
                <w:highlight w:val="none"/>
              </w:rPr>
              <w:t>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hAnsi="宋体" w:cs="宋体"/>
                <w:color w:val="auto"/>
                <w:sz w:val="24"/>
                <w:szCs w:val="24"/>
                <w:highlight w:val="none"/>
              </w:rPr>
              <w:t>（签字）：</w:t>
            </w:r>
          </w:p>
        </w:tc>
        <w:tc>
          <w:tcPr>
            <w:tcW w:w="4996" w:type="dxa"/>
            <w:tcBorders>
              <w:top w:val="nil"/>
              <w:left w:val="nil"/>
              <w:bottom w:val="nil"/>
              <w:right w:val="single" w:color="000000" w:sz="4" w:space="0"/>
            </w:tcBorders>
            <w:noWrap w:val="0"/>
            <w:tcMar>
              <w:top w:w="15" w:type="dxa"/>
              <w:left w:w="15" w:type="dxa"/>
              <w:bottom w:w="15" w:type="dxa"/>
              <w:right w:w="15" w:type="dxa"/>
            </w:tcMar>
            <w:vAlign w:val="center"/>
          </w:tcPr>
          <w:p w14:paraId="566F5A8D">
            <w:pPr>
              <w:widowControl/>
              <w:spacing w:line="360" w:lineRule="auto"/>
              <w:jc w:val="left"/>
              <w:textAlignment w:val="center"/>
              <w:rPr>
                <w:rFonts w:hAnsi="宋体" w:cs="宋体"/>
                <w:color w:val="auto"/>
                <w:sz w:val="24"/>
                <w:szCs w:val="24"/>
                <w:highlight w:val="none"/>
              </w:rPr>
            </w:pPr>
            <w:r>
              <w:rPr>
                <w:rFonts w:hint="eastAsia" w:ascii="宋体" w:hAnsi="宋体" w:eastAsia="宋体" w:cs="宋体"/>
                <w:color w:val="auto"/>
                <w:sz w:val="24"/>
                <w:szCs w:val="24"/>
                <w:highlight w:val="none"/>
                <w:lang w:val="en-US" w:eastAsia="zh-CN"/>
              </w:rPr>
              <w:t>法定</w:t>
            </w:r>
            <w:r>
              <w:rPr>
                <w:rFonts w:hint="eastAsia" w:ascii="宋体" w:hAnsi="宋体" w:eastAsia="宋体" w:cs="宋体"/>
                <w:color w:val="auto"/>
                <w:sz w:val="24"/>
                <w:szCs w:val="24"/>
                <w:highlight w:val="none"/>
              </w:rPr>
              <w:t>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hAnsi="宋体" w:cs="宋体"/>
                <w:color w:val="auto"/>
                <w:sz w:val="24"/>
                <w:szCs w:val="24"/>
                <w:highlight w:val="none"/>
              </w:rPr>
              <w:t>（签字）：</w:t>
            </w:r>
          </w:p>
        </w:tc>
      </w:tr>
      <w:tr w14:paraId="31E5221F">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nil"/>
              <w:right w:val="single" w:color="000000" w:sz="4" w:space="0"/>
            </w:tcBorders>
            <w:noWrap w:val="0"/>
            <w:tcMar>
              <w:top w:w="15" w:type="dxa"/>
              <w:left w:w="15" w:type="dxa"/>
              <w:bottom w:w="15" w:type="dxa"/>
              <w:right w:w="15" w:type="dxa"/>
            </w:tcMar>
            <w:vAlign w:val="center"/>
          </w:tcPr>
          <w:p w14:paraId="59B6B4A9">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户名：成都市第五人民医院</w:t>
            </w:r>
          </w:p>
        </w:tc>
        <w:tc>
          <w:tcPr>
            <w:tcW w:w="4996" w:type="dxa"/>
            <w:tcBorders>
              <w:top w:val="nil"/>
              <w:left w:val="nil"/>
              <w:bottom w:val="nil"/>
              <w:right w:val="single" w:color="000000" w:sz="4" w:space="0"/>
            </w:tcBorders>
            <w:noWrap w:val="0"/>
            <w:tcMar>
              <w:top w:w="15" w:type="dxa"/>
              <w:left w:w="15" w:type="dxa"/>
              <w:bottom w:w="15" w:type="dxa"/>
              <w:right w:w="15" w:type="dxa"/>
            </w:tcMar>
            <w:vAlign w:val="center"/>
          </w:tcPr>
          <w:p w14:paraId="78DF2856">
            <w:pPr>
              <w:widowControl/>
              <w:spacing w:line="360" w:lineRule="auto"/>
              <w:jc w:val="left"/>
              <w:textAlignment w:val="center"/>
              <w:rPr>
                <w:rFonts w:hint="default" w:hAnsi="宋体" w:eastAsia="宋体" w:cs="宋体"/>
                <w:color w:val="auto"/>
                <w:sz w:val="24"/>
                <w:szCs w:val="24"/>
                <w:highlight w:val="none"/>
                <w:lang w:val="en-US" w:eastAsia="zh-CN"/>
              </w:rPr>
            </w:pPr>
            <w:r>
              <w:rPr>
                <w:rFonts w:hint="eastAsia" w:hAnsi="宋体" w:cs="宋体"/>
                <w:color w:val="auto"/>
                <w:sz w:val="24"/>
                <w:szCs w:val="24"/>
                <w:highlight w:val="none"/>
              </w:rPr>
              <w:t>户名：</w:t>
            </w:r>
            <w:r>
              <w:rPr>
                <w:rFonts w:hAnsi="宋体" w:cs="宋体"/>
                <w:color w:val="auto"/>
                <w:sz w:val="24"/>
                <w:szCs w:val="24"/>
                <w:highlight w:val="none"/>
              </w:rPr>
              <w:t xml:space="preserve"> </w:t>
            </w:r>
          </w:p>
        </w:tc>
      </w:tr>
      <w:tr w14:paraId="5666E464">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nil"/>
              <w:right w:val="single" w:color="000000" w:sz="4" w:space="0"/>
            </w:tcBorders>
            <w:noWrap w:val="0"/>
            <w:tcMar>
              <w:top w:w="15" w:type="dxa"/>
              <w:left w:w="15" w:type="dxa"/>
              <w:bottom w:w="15" w:type="dxa"/>
              <w:right w:w="15" w:type="dxa"/>
            </w:tcMar>
            <w:vAlign w:val="center"/>
          </w:tcPr>
          <w:p w14:paraId="28E9D216">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开户银行：中信银行温江支行</w:t>
            </w:r>
          </w:p>
        </w:tc>
        <w:tc>
          <w:tcPr>
            <w:tcW w:w="4996" w:type="dxa"/>
            <w:tcBorders>
              <w:top w:val="nil"/>
              <w:left w:val="nil"/>
              <w:bottom w:val="nil"/>
              <w:right w:val="single" w:color="000000" w:sz="4" w:space="0"/>
            </w:tcBorders>
            <w:noWrap w:val="0"/>
            <w:tcMar>
              <w:top w:w="15" w:type="dxa"/>
              <w:left w:w="15" w:type="dxa"/>
              <w:bottom w:w="15" w:type="dxa"/>
              <w:right w:w="15" w:type="dxa"/>
            </w:tcMar>
            <w:vAlign w:val="center"/>
          </w:tcPr>
          <w:p w14:paraId="73064F8A">
            <w:pPr>
              <w:spacing w:line="360" w:lineRule="auto"/>
              <w:ind w:right="-1050" w:rightChars="-500"/>
              <w:rPr>
                <w:rFonts w:hint="eastAsia" w:hAnsi="宋体" w:eastAsia="宋体"/>
                <w:color w:val="auto"/>
                <w:sz w:val="24"/>
                <w:szCs w:val="24"/>
                <w:highlight w:val="none"/>
                <w:lang w:val="en-US" w:eastAsia="zh-CN"/>
              </w:rPr>
            </w:pPr>
            <w:r>
              <w:rPr>
                <w:rFonts w:hint="eastAsia" w:hAnsi="宋体" w:cs="宋体"/>
                <w:color w:val="auto"/>
                <w:sz w:val="24"/>
                <w:szCs w:val="24"/>
                <w:highlight w:val="none"/>
              </w:rPr>
              <w:t>开户银行：</w:t>
            </w:r>
          </w:p>
        </w:tc>
      </w:tr>
      <w:tr w14:paraId="2E939B0C">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nil"/>
              <w:right w:val="single" w:color="000000" w:sz="4" w:space="0"/>
            </w:tcBorders>
            <w:noWrap w:val="0"/>
            <w:tcMar>
              <w:top w:w="15" w:type="dxa"/>
              <w:left w:w="15" w:type="dxa"/>
              <w:bottom w:w="15" w:type="dxa"/>
              <w:right w:w="15" w:type="dxa"/>
            </w:tcMar>
            <w:vAlign w:val="center"/>
          </w:tcPr>
          <w:p w14:paraId="4B704054">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账号：7412410182600004644</w:t>
            </w:r>
          </w:p>
        </w:tc>
        <w:tc>
          <w:tcPr>
            <w:tcW w:w="4996" w:type="dxa"/>
            <w:tcBorders>
              <w:top w:val="nil"/>
              <w:left w:val="nil"/>
              <w:bottom w:val="nil"/>
              <w:right w:val="single" w:color="000000" w:sz="4" w:space="0"/>
            </w:tcBorders>
            <w:noWrap w:val="0"/>
            <w:tcMar>
              <w:top w:w="15" w:type="dxa"/>
              <w:left w:w="15" w:type="dxa"/>
              <w:bottom w:w="15" w:type="dxa"/>
              <w:right w:w="15" w:type="dxa"/>
            </w:tcMar>
            <w:vAlign w:val="center"/>
          </w:tcPr>
          <w:p w14:paraId="57704764">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账号：</w:t>
            </w:r>
          </w:p>
        </w:tc>
      </w:tr>
      <w:tr w14:paraId="66AD41BD">
        <w:tblPrEx>
          <w:tblCellMar>
            <w:top w:w="0" w:type="dxa"/>
            <w:left w:w="108" w:type="dxa"/>
            <w:bottom w:w="0" w:type="dxa"/>
            <w:right w:w="108" w:type="dxa"/>
          </w:tblCellMar>
        </w:tblPrEx>
        <w:trPr>
          <w:trHeight w:val="390" w:hRule="atLeast"/>
          <w:jc w:val="center"/>
        </w:trPr>
        <w:tc>
          <w:tcPr>
            <w:tcW w:w="5040" w:type="dxa"/>
            <w:tcBorders>
              <w:top w:val="nil"/>
              <w:left w:val="single" w:color="000000" w:sz="4" w:space="0"/>
              <w:bottom w:val="single" w:color="000000" w:sz="4" w:space="0"/>
              <w:right w:val="single" w:color="000000" w:sz="4" w:space="0"/>
            </w:tcBorders>
            <w:noWrap w:val="0"/>
            <w:tcMar>
              <w:top w:w="15" w:type="dxa"/>
              <w:left w:w="15" w:type="dxa"/>
              <w:bottom w:w="15" w:type="dxa"/>
              <w:right w:w="15" w:type="dxa"/>
            </w:tcMar>
            <w:vAlign w:val="center"/>
          </w:tcPr>
          <w:p w14:paraId="2584D800">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 xml:space="preserve">签订日期:  </w:t>
            </w:r>
            <w:r>
              <w:rPr>
                <w:rFonts w:hint="eastAsia" w:hAnsi="宋体" w:cs="宋体"/>
                <w:color w:val="auto"/>
                <w:sz w:val="24"/>
                <w:szCs w:val="24"/>
                <w:highlight w:val="none"/>
                <w:lang w:eastAsia="zh-CN"/>
              </w:rPr>
              <w:t>2</w:t>
            </w:r>
            <w:r>
              <w:rPr>
                <w:rFonts w:hint="eastAsia" w:hAnsi="宋体" w:cs="宋体"/>
                <w:color w:val="auto"/>
                <w:sz w:val="24"/>
                <w:szCs w:val="24"/>
                <w:highlight w:val="none"/>
                <w:lang w:val="en-US" w:eastAsia="zh-CN"/>
              </w:rPr>
              <w:t>0</w:t>
            </w:r>
            <w:r>
              <w:rPr>
                <w:rFonts w:hint="eastAsia" w:hAnsi="宋体" w:cs="宋体"/>
                <w:color w:val="auto"/>
                <w:sz w:val="24"/>
                <w:szCs w:val="24"/>
                <w:highlight w:val="none"/>
                <w:lang w:eastAsia="zh-CN"/>
              </w:rPr>
              <w:t>24</w:t>
            </w:r>
            <w:r>
              <w:rPr>
                <w:rFonts w:hint="eastAsia" w:hAnsi="宋体" w:cs="宋体"/>
                <w:color w:val="auto"/>
                <w:sz w:val="24"/>
                <w:szCs w:val="24"/>
                <w:highlight w:val="none"/>
              </w:rPr>
              <w:t>年     月     日</w:t>
            </w:r>
          </w:p>
        </w:tc>
        <w:tc>
          <w:tcPr>
            <w:tcW w:w="4996" w:type="dxa"/>
            <w:tcBorders>
              <w:top w:val="nil"/>
              <w:left w:val="nil"/>
              <w:bottom w:val="single" w:color="000000" w:sz="4" w:space="0"/>
              <w:right w:val="single" w:color="000000" w:sz="4" w:space="0"/>
            </w:tcBorders>
            <w:noWrap w:val="0"/>
            <w:tcMar>
              <w:top w:w="15" w:type="dxa"/>
              <w:left w:w="15" w:type="dxa"/>
              <w:bottom w:w="15" w:type="dxa"/>
              <w:right w:w="15" w:type="dxa"/>
            </w:tcMar>
            <w:vAlign w:val="center"/>
          </w:tcPr>
          <w:p w14:paraId="1ED7B7AA">
            <w:pPr>
              <w:widowControl/>
              <w:spacing w:line="360" w:lineRule="auto"/>
              <w:jc w:val="left"/>
              <w:textAlignment w:val="center"/>
              <w:rPr>
                <w:rFonts w:hAnsi="宋体" w:cs="宋体"/>
                <w:color w:val="auto"/>
                <w:sz w:val="24"/>
                <w:szCs w:val="24"/>
                <w:highlight w:val="none"/>
              </w:rPr>
            </w:pPr>
            <w:r>
              <w:rPr>
                <w:rFonts w:hint="eastAsia" w:hAnsi="宋体" w:cs="宋体"/>
                <w:color w:val="auto"/>
                <w:sz w:val="24"/>
                <w:szCs w:val="24"/>
                <w:highlight w:val="none"/>
              </w:rPr>
              <w:t xml:space="preserve">签订日期:   </w:t>
            </w:r>
            <w:r>
              <w:rPr>
                <w:rFonts w:hint="eastAsia" w:hAnsi="宋体" w:cs="宋体"/>
                <w:color w:val="auto"/>
                <w:sz w:val="24"/>
                <w:szCs w:val="24"/>
                <w:highlight w:val="none"/>
                <w:lang w:eastAsia="zh-CN"/>
              </w:rPr>
              <w:t>2</w:t>
            </w:r>
            <w:r>
              <w:rPr>
                <w:rFonts w:hint="eastAsia" w:hAnsi="宋体" w:cs="宋体"/>
                <w:color w:val="auto"/>
                <w:sz w:val="24"/>
                <w:szCs w:val="24"/>
                <w:highlight w:val="none"/>
                <w:lang w:val="en-US" w:eastAsia="zh-CN"/>
              </w:rPr>
              <w:t>0</w:t>
            </w:r>
            <w:r>
              <w:rPr>
                <w:rFonts w:hint="eastAsia" w:hAnsi="宋体" w:cs="宋体"/>
                <w:color w:val="auto"/>
                <w:sz w:val="24"/>
                <w:szCs w:val="24"/>
                <w:highlight w:val="none"/>
                <w:lang w:eastAsia="zh-CN"/>
              </w:rPr>
              <w:t>24</w:t>
            </w:r>
            <w:r>
              <w:rPr>
                <w:rFonts w:hint="eastAsia" w:hAnsi="宋体" w:cs="宋体"/>
                <w:color w:val="auto"/>
                <w:sz w:val="24"/>
                <w:szCs w:val="24"/>
                <w:highlight w:val="none"/>
              </w:rPr>
              <w:t>年     月     日</w:t>
            </w:r>
          </w:p>
        </w:tc>
      </w:tr>
    </w:tbl>
    <w:p w14:paraId="2CB1AA86">
      <w:pPr>
        <w:tabs>
          <w:tab w:val="left" w:pos="0"/>
        </w:tabs>
        <w:spacing w:line="360" w:lineRule="auto"/>
        <w:rPr>
          <w:rFonts w:hAnsi="宋体" w:cs="宋体"/>
          <w:color w:val="auto"/>
          <w:sz w:val="24"/>
          <w:highlight w:val="none"/>
        </w:rPr>
      </w:pPr>
      <w:r>
        <w:rPr>
          <w:rFonts w:hint="eastAsia" w:hAnsi="宋体" w:cs="宋体"/>
          <w:color w:val="auto"/>
          <w:sz w:val="24"/>
          <w:szCs w:val="24"/>
          <w:highlight w:val="none"/>
        </w:rPr>
        <w:t>本合同至双方签署之日起生效。</w:t>
      </w:r>
    </w:p>
    <w:p w14:paraId="6C9FD948">
      <w:pPr>
        <w:spacing w:line="360" w:lineRule="auto"/>
        <w:rPr>
          <w:rFonts w:hAnsi="宋体" w:cs="宋体"/>
          <w:color w:val="auto"/>
          <w:sz w:val="24"/>
          <w:szCs w:val="24"/>
          <w:highlight w:val="none"/>
        </w:rPr>
      </w:pPr>
      <w:r>
        <w:rPr>
          <w:rFonts w:hint="eastAsia" w:hAnsi="宋体" w:cs="宋体"/>
          <w:color w:val="auto"/>
          <w:sz w:val="24"/>
          <w:szCs w:val="24"/>
          <w:highlight w:val="none"/>
        </w:rPr>
        <w:t xml:space="preserve">  </w:t>
      </w:r>
    </w:p>
    <w:p w14:paraId="4DD0D3AB">
      <w:pPr>
        <w:spacing w:line="360" w:lineRule="auto"/>
        <w:rPr>
          <w:rFonts w:hAnsi="宋体" w:cs="宋体"/>
          <w:color w:val="auto"/>
          <w:sz w:val="24"/>
          <w:szCs w:val="24"/>
          <w:highlight w:val="none"/>
        </w:rPr>
      </w:pPr>
    </w:p>
    <w:p w14:paraId="5092A5E8">
      <w:pPr>
        <w:spacing w:line="360" w:lineRule="auto"/>
        <w:rPr>
          <w:rFonts w:hAnsi="宋体" w:cs="宋体"/>
          <w:color w:val="auto"/>
          <w:sz w:val="24"/>
          <w:szCs w:val="24"/>
          <w:highlight w:val="none"/>
        </w:rPr>
      </w:pPr>
    </w:p>
    <w:p w14:paraId="1B59A16D">
      <w:pPr>
        <w:pStyle w:val="4"/>
        <w:rPr>
          <w:rFonts w:hAnsi="宋体" w:cs="宋体"/>
          <w:color w:val="auto"/>
          <w:sz w:val="24"/>
          <w:highlight w:val="none"/>
        </w:rPr>
      </w:pPr>
    </w:p>
    <w:p w14:paraId="1C7AE1EF">
      <w:pPr>
        <w:pStyle w:val="4"/>
        <w:rPr>
          <w:rFonts w:hAnsi="宋体" w:cs="宋体"/>
          <w:color w:val="auto"/>
          <w:sz w:val="24"/>
          <w:highlight w:val="none"/>
        </w:rPr>
      </w:pPr>
    </w:p>
    <w:p w14:paraId="5FD2142C">
      <w:pPr>
        <w:pStyle w:val="4"/>
        <w:rPr>
          <w:rFonts w:hAnsi="宋体" w:cs="宋体"/>
          <w:color w:val="auto"/>
          <w:sz w:val="24"/>
          <w:highlight w:val="none"/>
        </w:rPr>
      </w:pPr>
    </w:p>
    <w:p w14:paraId="65087877">
      <w:pPr>
        <w:pStyle w:val="4"/>
        <w:rPr>
          <w:rFonts w:hAnsi="宋体" w:cs="宋体"/>
          <w:color w:val="auto"/>
          <w:sz w:val="24"/>
          <w:highlight w:val="none"/>
        </w:rPr>
      </w:pPr>
    </w:p>
    <w:p w14:paraId="0B018870">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附件：</w:t>
      </w:r>
    </w:p>
    <w:p w14:paraId="7C1483FF">
      <w:pPr>
        <w:spacing w:line="360" w:lineRule="auto"/>
        <w:rPr>
          <w:rFonts w:hAnsi="宋体" w:cs="宋体"/>
          <w:b/>
          <w:bCs/>
          <w:color w:val="auto"/>
          <w:sz w:val="24"/>
          <w:szCs w:val="24"/>
          <w:highlight w:val="none"/>
        </w:rPr>
      </w:pPr>
      <w:r>
        <w:rPr>
          <w:rFonts w:hint="eastAsia" w:hAnsi="宋体" w:cs="宋体"/>
          <w:b/>
          <w:bCs/>
          <w:color w:val="auto"/>
          <w:sz w:val="24"/>
          <w:szCs w:val="24"/>
          <w:highlight w:val="none"/>
        </w:rPr>
        <w:t xml:space="preserve">    一、产品配置清单及分项价格表：</w:t>
      </w:r>
    </w:p>
    <w:tbl>
      <w:tblPr>
        <w:tblStyle w:val="7"/>
        <w:tblW w:w="9378" w:type="dxa"/>
        <w:tblInd w:w="-885" w:type="dxa"/>
        <w:tblLayout w:type="fixed"/>
        <w:tblCellMar>
          <w:top w:w="0" w:type="dxa"/>
          <w:left w:w="108" w:type="dxa"/>
          <w:bottom w:w="0" w:type="dxa"/>
          <w:right w:w="108" w:type="dxa"/>
        </w:tblCellMar>
      </w:tblPr>
      <w:tblGrid>
        <w:gridCol w:w="1812"/>
        <w:gridCol w:w="1656"/>
        <w:gridCol w:w="1440"/>
        <w:gridCol w:w="1380"/>
        <w:gridCol w:w="810"/>
        <w:gridCol w:w="1305"/>
        <w:gridCol w:w="975"/>
      </w:tblGrid>
      <w:tr w14:paraId="0AB8E200">
        <w:tblPrEx>
          <w:tblCellMar>
            <w:top w:w="0" w:type="dxa"/>
            <w:left w:w="108" w:type="dxa"/>
            <w:bottom w:w="0" w:type="dxa"/>
            <w:right w:w="108" w:type="dxa"/>
          </w:tblCellMar>
        </w:tblPrEx>
        <w:trPr>
          <w:trHeight w:val="285" w:hRule="atLeast"/>
        </w:trPr>
        <w:tc>
          <w:tcPr>
            <w:tcW w:w="1812" w:type="dxa"/>
            <w:tcBorders>
              <w:top w:val="single" w:color="auto" w:sz="4" w:space="0"/>
              <w:left w:val="single" w:color="auto" w:sz="4" w:space="0"/>
              <w:bottom w:val="single" w:color="auto" w:sz="4" w:space="0"/>
              <w:right w:val="single" w:color="auto" w:sz="4" w:space="0"/>
            </w:tcBorders>
            <w:noWrap w:val="0"/>
            <w:vAlign w:val="center"/>
          </w:tcPr>
          <w:p w14:paraId="57399374">
            <w:pPr>
              <w:widowControl/>
              <w:spacing w:line="360" w:lineRule="auto"/>
              <w:jc w:val="center"/>
              <w:rPr>
                <w:rFonts w:hAnsi="宋体" w:cs="宋体"/>
                <w:b/>
                <w:bCs/>
                <w:color w:val="auto"/>
                <w:sz w:val="18"/>
                <w:szCs w:val="18"/>
                <w:highlight w:val="none"/>
              </w:rPr>
            </w:pPr>
            <w:r>
              <w:rPr>
                <w:rFonts w:hint="eastAsia" w:hAnsi="宋体" w:cs="宋体"/>
                <w:b/>
                <w:bCs/>
                <w:color w:val="auto"/>
                <w:sz w:val="18"/>
                <w:szCs w:val="18"/>
                <w:highlight w:val="none"/>
              </w:rPr>
              <w:t>配置</w:t>
            </w:r>
          </w:p>
        </w:tc>
        <w:tc>
          <w:tcPr>
            <w:tcW w:w="1656" w:type="dxa"/>
            <w:tcBorders>
              <w:top w:val="single" w:color="auto" w:sz="4" w:space="0"/>
              <w:left w:val="nil"/>
              <w:bottom w:val="single" w:color="auto" w:sz="4" w:space="0"/>
              <w:right w:val="single" w:color="auto" w:sz="4" w:space="0"/>
            </w:tcBorders>
            <w:noWrap w:val="0"/>
            <w:vAlign w:val="center"/>
          </w:tcPr>
          <w:p w14:paraId="44A6BD3D">
            <w:pPr>
              <w:widowControl/>
              <w:spacing w:line="360" w:lineRule="auto"/>
              <w:jc w:val="center"/>
              <w:rPr>
                <w:rFonts w:hAnsi="宋体" w:cs="宋体"/>
                <w:b/>
                <w:bCs/>
                <w:color w:val="auto"/>
                <w:sz w:val="18"/>
                <w:szCs w:val="18"/>
                <w:highlight w:val="none"/>
              </w:rPr>
            </w:pPr>
            <w:r>
              <w:rPr>
                <w:rFonts w:hint="eastAsia" w:hAnsi="宋体" w:cs="宋体"/>
                <w:b/>
                <w:bCs/>
                <w:color w:val="auto"/>
                <w:sz w:val="18"/>
                <w:szCs w:val="18"/>
                <w:highlight w:val="none"/>
              </w:rPr>
              <w:t>名称</w:t>
            </w:r>
          </w:p>
        </w:tc>
        <w:tc>
          <w:tcPr>
            <w:tcW w:w="1440" w:type="dxa"/>
            <w:tcBorders>
              <w:top w:val="single" w:color="auto" w:sz="4" w:space="0"/>
              <w:left w:val="single" w:color="auto" w:sz="4" w:space="0"/>
              <w:bottom w:val="single" w:color="auto" w:sz="4" w:space="0"/>
              <w:right w:val="single" w:color="auto" w:sz="4" w:space="0"/>
            </w:tcBorders>
            <w:noWrap w:val="0"/>
            <w:vAlign w:val="top"/>
          </w:tcPr>
          <w:p w14:paraId="58A19230">
            <w:pPr>
              <w:widowControl/>
              <w:spacing w:line="360" w:lineRule="auto"/>
              <w:jc w:val="center"/>
              <w:rPr>
                <w:rFonts w:hAnsi="宋体" w:cs="宋体"/>
                <w:b/>
                <w:bCs/>
                <w:color w:val="auto"/>
                <w:sz w:val="18"/>
                <w:szCs w:val="18"/>
                <w:highlight w:val="none"/>
              </w:rPr>
            </w:pPr>
            <w:r>
              <w:rPr>
                <w:rFonts w:hint="eastAsia" w:hAnsi="宋体" w:cs="宋体"/>
                <w:b/>
                <w:bCs/>
                <w:color w:val="auto"/>
                <w:sz w:val="18"/>
                <w:szCs w:val="18"/>
                <w:highlight w:val="none"/>
              </w:rPr>
              <w:t>规格型号</w:t>
            </w:r>
          </w:p>
        </w:tc>
        <w:tc>
          <w:tcPr>
            <w:tcW w:w="1380" w:type="dxa"/>
            <w:tcBorders>
              <w:top w:val="single" w:color="auto" w:sz="4" w:space="0"/>
              <w:left w:val="single" w:color="auto" w:sz="4" w:space="0"/>
              <w:bottom w:val="single" w:color="auto" w:sz="4" w:space="0"/>
              <w:right w:val="single" w:color="auto" w:sz="4" w:space="0"/>
            </w:tcBorders>
            <w:noWrap w:val="0"/>
            <w:vAlign w:val="center"/>
          </w:tcPr>
          <w:p w14:paraId="4BE558A6">
            <w:pPr>
              <w:widowControl/>
              <w:spacing w:line="360" w:lineRule="auto"/>
              <w:jc w:val="center"/>
              <w:rPr>
                <w:rFonts w:hAnsi="宋体" w:cs="宋体"/>
                <w:b/>
                <w:bCs/>
                <w:color w:val="auto"/>
                <w:sz w:val="18"/>
                <w:szCs w:val="18"/>
                <w:highlight w:val="none"/>
              </w:rPr>
            </w:pPr>
            <w:r>
              <w:rPr>
                <w:rFonts w:hint="eastAsia" w:hAnsi="宋体" w:cs="宋体"/>
                <w:b/>
                <w:bCs/>
                <w:color w:val="auto"/>
                <w:sz w:val="18"/>
                <w:szCs w:val="18"/>
                <w:highlight w:val="none"/>
              </w:rPr>
              <w:t>单价（万元）</w:t>
            </w:r>
          </w:p>
        </w:tc>
        <w:tc>
          <w:tcPr>
            <w:tcW w:w="810" w:type="dxa"/>
            <w:tcBorders>
              <w:top w:val="single" w:color="auto" w:sz="4" w:space="0"/>
              <w:left w:val="nil"/>
              <w:bottom w:val="single" w:color="auto" w:sz="4" w:space="0"/>
              <w:right w:val="single" w:color="auto" w:sz="4" w:space="0"/>
            </w:tcBorders>
            <w:noWrap w:val="0"/>
            <w:vAlign w:val="center"/>
          </w:tcPr>
          <w:p w14:paraId="307BF07B">
            <w:pPr>
              <w:widowControl/>
              <w:spacing w:line="360" w:lineRule="auto"/>
              <w:jc w:val="center"/>
              <w:rPr>
                <w:rFonts w:hAnsi="宋体" w:cs="宋体"/>
                <w:b/>
                <w:bCs/>
                <w:color w:val="auto"/>
                <w:sz w:val="18"/>
                <w:szCs w:val="18"/>
                <w:highlight w:val="none"/>
              </w:rPr>
            </w:pPr>
            <w:r>
              <w:rPr>
                <w:rFonts w:hint="eastAsia" w:hAnsi="宋体" w:cs="宋体"/>
                <w:b/>
                <w:bCs/>
                <w:color w:val="auto"/>
                <w:sz w:val="18"/>
                <w:szCs w:val="18"/>
                <w:highlight w:val="none"/>
              </w:rPr>
              <w:t>数量</w:t>
            </w:r>
          </w:p>
        </w:tc>
        <w:tc>
          <w:tcPr>
            <w:tcW w:w="1305" w:type="dxa"/>
            <w:tcBorders>
              <w:top w:val="single" w:color="auto" w:sz="4" w:space="0"/>
              <w:left w:val="nil"/>
              <w:bottom w:val="single" w:color="auto" w:sz="4" w:space="0"/>
              <w:right w:val="single" w:color="auto" w:sz="4" w:space="0"/>
            </w:tcBorders>
            <w:noWrap w:val="0"/>
            <w:vAlign w:val="center"/>
          </w:tcPr>
          <w:p w14:paraId="08564E30">
            <w:pPr>
              <w:widowControl/>
              <w:spacing w:line="360" w:lineRule="auto"/>
              <w:jc w:val="center"/>
              <w:rPr>
                <w:rFonts w:hAnsi="宋体" w:cs="宋体"/>
                <w:b/>
                <w:bCs/>
                <w:color w:val="auto"/>
                <w:sz w:val="18"/>
                <w:szCs w:val="18"/>
                <w:highlight w:val="none"/>
              </w:rPr>
            </w:pPr>
            <w:r>
              <w:rPr>
                <w:rFonts w:hint="eastAsia" w:hAnsi="宋体" w:cs="宋体"/>
                <w:b/>
                <w:bCs/>
                <w:color w:val="auto"/>
                <w:sz w:val="18"/>
                <w:szCs w:val="18"/>
                <w:highlight w:val="none"/>
              </w:rPr>
              <w:t>总价（万元）</w:t>
            </w:r>
          </w:p>
        </w:tc>
        <w:tc>
          <w:tcPr>
            <w:tcW w:w="975" w:type="dxa"/>
            <w:tcBorders>
              <w:top w:val="single" w:color="auto" w:sz="4" w:space="0"/>
              <w:left w:val="nil"/>
              <w:bottom w:val="single" w:color="auto" w:sz="4" w:space="0"/>
              <w:right w:val="single" w:color="auto" w:sz="4" w:space="0"/>
            </w:tcBorders>
            <w:noWrap w:val="0"/>
            <w:vAlign w:val="center"/>
          </w:tcPr>
          <w:p w14:paraId="4E5055F5">
            <w:pPr>
              <w:widowControl/>
              <w:spacing w:line="360" w:lineRule="auto"/>
              <w:jc w:val="center"/>
              <w:rPr>
                <w:rFonts w:hint="default" w:hAnsi="宋体" w:eastAsia="宋体" w:cs="宋体"/>
                <w:b/>
                <w:bCs/>
                <w:color w:val="auto"/>
                <w:sz w:val="18"/>
                <w:szCs w:val="18"/>
                <w:highlight w:val="none"/>
                <w:lang w:val="en-US" w:eastAsia="zh-CN"/>
              </w:rPr>
            </w:pPr>
            <w:r>
              <w:rPr>
                <w:rFonts w:hint="eastAsia" w:hAnsi="宋体" w:cs="宋体"/>
                <w:b/>
                <w:bCs/>
                <w:color w:val="auto"/>
                <w:sz w:val="18"/>
                <w:szCs w:val="18"/>
                <w:highlight w:val="none"/>
                <w:lang w:val="en-US" w:eastAsia="zh-CN"/>
              </w:rPr>
              <w:t>生产厂家</w:t>
            </w:r>
          </w:p>
        </w:tc>
      </w:tr>
      <w:tr w14:paraId="28263C46">
        <w:tblPrEx>
          <w:tblCellMar>
            <w:top w:w="0" w:type="dxa"/>
            <w:left w:w="108" w:type="dxa"/>
            <w:bottom w:w="0" w:type="dxa"/>
            <w:right w:w="108" w:type="dxa"/>
          </w:tblCellMar>
        </w:tblPrEx>
        <w:trPr>
          <w:trHeight w:val="270" w:hRule="atLeast"/>
        </w:trPr>
        <w:tc>
          <w:tcPr>
            <w:tcW w:w="1812" w:type="dxa"/>
            <w:vMerge w:val="restart"/>
            <w:tcBorders>
              <w:top w:val="nil"/>
              <w:left w:val="single" w:color="auto" w:sz="4" w:space="0"/>
              <w:bottom w:val="single" w:color="auto" w:sz="4" w:space="0"/>
              <w:right w:val="single" w:color="auto" w:sz="4" w:space="0"/>
            </w:tcBorders>
            <w:noWrap w:val="0"/>
            <w:vAlign w:val="center"/>
          </w:tcPr>
          <w:p w14:paraId="64CEE2C5">
            <w:pPr>
              <w:spacing w:line="360" w:lineRule="auto"/>
              <w:jc w:val="center"/>
              <w:rPr>
                <w:rFonts w:hAnsi="宋体" w:cs="宋体"/>
                <w:b/>
                <w:bCs/>
                <w:color w:val="auto"/>
                <w:sz w:val="18"/>
                <w:szCs w:val="18"/>
                <w:highlight w:val="none"/>
              </w:rPr>
            </w:pPr>
            <w:r>
              <w:rPr>
                <w:rFonts w:hint="eastAsia" w:hAnsi="宋体" w:cs="宋体"/>
                <w:color w:val="auto"/>
                <w:sz w:val="21"/>
                <w:szCs w:val="21"/>
                <w:highlight w:val="none"/>
              </w:rPr>
              <w:t>标准配置清单</w:t>
            </w:r>
          </w:p>
        </w:tc>
        <w:tc>
          <w:tcPr>
            <w:tcW w:w="1656" w:type="dxa"/>
            <w:tcBorders>
              <w:top w:val="nil"/>
              <w:left w:val="nil"/>
              <w:bottom w:val="single" w:color="auto" w:sz="4" w:space="0"/>
              <w:right w:val="single" w:color="auto" w:sz="4" w:space="0"/>
            </w:tcBorders>
            <w:noWrap w:val="0"/>
            <w:vAlign w:val="center"/>
          </w:tcPr>
          <w:p w14:paraId="418499C3">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2E6DEF5E">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396B122D">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461DBB2E">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748E5F92">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2105084D">
            <w:pPr>
              <w:widowControl/>
              <w:spacing w:line="360" w:lineRule="auto"/>
              <w:jc w:val="center"/>
              <w:rPr>
                <w:rFonts w:hAnsi="宋体" w:cs="宋体"/>
                <w:color w:val="auto"/>
                <w:sz w:val="18"/>
                <w:szCs w:val="18"/>
                <w:highlight w:val="none"/>
              </w:rPr>
            </w:pPr>
          </w:p>
        </w:tc>
      </w:tr>
      <w:tr w14:paraId="13318D4B">
        <w:tblPrEx>
          <w:tblCellMar>
            <w:top w:w="0" w:type="dxa"/>
            <w:left w:w="108" w:type="dxa"/>
            <w:bottom w:w="0" w:type="dxa"/>
            <w:right w:w="108" w:type="dxa"/>
          </w:tblCellMar>
        </w:tblPrEx>
        <w:trPr>
          <w:trHeight w:val="270" w:hRule="atLeast"/>
        </w:trPr>
        <w:tc>
          <w:tcPr>
            <w:tcW w:w="1812" w:type="dxa"/>
            <w:vMerge w:val="continue"/>
            <w:tcBorders>
              <w:top w:val="nil"/>
              <w:left w:val="single" w:color="auto" w:sz="4" w:space="0"/>
              <w:bottom w:val="single" w:color="auto" w:sz="4" w:space="0"/>
              <w:right w:val="single" w:color="auto" w:sz="4" w:space="0"/>
            </w:tcBorders>
            <w:noWrap w:val="0"/>
            <w:vAlign w:val="center"/>
          </w:tcPr>
          <w:p w14:paraId="076AEF86">
            <w:pPr>
              <w:widowControl/>
              <w:spacing w:line="360" w:lineRule="auto"/>
              <w:jc w:val="left"/>
              <w:rPr>
                <w:rFonts w:hAnsi="宋体" w:cs="宋体"/>
                <w:b/>
                <w:bCs/>
                <w:color w:val="auto"/>
                <w:sz w:val="18"/>
                <w:szCs w:val="18"/>
                <w:highlight w:val="none"/>
              </w:rPr>
            </w:pPr>
          </w:p>
        </w:tc>
        <w:tc>
          <w:tcPr>
            <w:tcW w:w="1656" w:type="dxa"/>
            <w:tcBorders>
              <w:top w:val="nil"/>
              <w:left w:val="nil"/>
              <w:bottom w:val="single" w:color="auto" w:sz="4" w:space="0"/>
              <w:right w:val="single" w:color="auto" w:sz="4" w:space="0"/>
            </w:tcBorders>
            <w:noWrap w:val="0"/>
            <w:vAlign w:val="center"/>
          </w:tcPr>
          <w:p w14:paraId="7FC1630E">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285D20FF">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527D4455">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2F952B31">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52927D57">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1307C1C5">
            <w:pPr>
              <w:widowControl/>
              <w:spacing w:line="360" w:lineRule="auto"/>
              <w:jc w:val="center"/>
              <w:rPr>
                <w:rFonts w:hAnsi="宋体" w:cs="宋体"/>
                <w:color w:val="auto"/>
                <w:sz w:val="18"/>
                <w:szCs w:val="18"/>
                <w:highlight w:val="none"/>
              </w:rPr>
            </w:pPr>
          </w:p>
        </w:tc>
      </w:tr>
      <w:tr w14:paraId="7B544C56">
        <w:tblPrEx>
          <w:tblCellMar>
            <w:top w:w="0" w:type="dxa"/>
            <w:left w:w="108" w:type="dxa"/>
            <w:bottom w:w="0" w:type="dxa"/>
            <w:right w:w="108" w:type="dxa"/>
          </w:tblCellMar>
        </w:tblPrEx>
        <w:trPr>
          <w:trHeight w:val="270" w:hRule="atLeast"/>
        </w:trPr>
        <w:tc>
          <w:tcPr>
            <w:tcW w:w="1812" w:type="dxa"/>
            <w:vMerge w:val="continue"/>
            <w:tcBorders>
              <w:top w:val="nil"/>
              <w:left w:val="single" w:color="auto" w:sz="4" w:space="0"/>
              <w:bottom w:val="single" w:color="auto" w:sz="4" w:space="0"/>
              <w:right w:val="single" w:color="auto" w:sz="4" w:space="0"/>
            </w:tcBorders>
            <w:noWrap w:val="0"/>
            <w:vAlign w:val="center"/>
          </w:tcPr>
          <w:p w14:paraId="76BCE932">
            <w:pPr>
              <w:widowControl/>
              <w:spacing w:line="360" w:lineRule="auto"/>
              <w:jc w:val="left"/>
              <w:rPr>
                <w:rFonts w:hAnsi="宋体" w:cs="宋体"/>
                <w:b/>
                <w:bCs/>
                <w:color w:val="auto"/>
                <w:sz w:val="18"/>
                <w:szCs w:val="18"/>
                <w:highlight w:val="none"/>
              </w:rPr>
            </w:pPr>
          </w:p>
        </w:tc>
        <w:tc>
          <w:tcPr>
            <w:tcW w:w="1656" w:type="dxa"/>
            <w:tcBorders>
              <w:top w:val="nil"/>
              <w:left w:val="nil"/>
              <w:bottom w:val="single" w:color="auto" w:sz="4" w:space="0"/>
              <w:right w:val="single" w:color="auto" w:sz="4" w:space="0"/>
            </w:tcBorders>
            <w:noWrap w:val="0"/>
            <w:vAlign w:val="center"/>
          </w:tcPr>
          <w:p w14:paraId="2DCE10AE">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0D6ACC09">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46F3C2F0">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19354681">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45355100">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0E4E59C9">
            <w:pPr>
              <w:widowControl/>
              <w:spacing w:line="360" w:lineRule="auto"/>
              <w:jc w:val="center"/>
              <w:rPr>
                <w:rFonts w:hAnsi="宋体" w:cs="宋体"/>
                <w:color w:val="auto"/>
                <w:sz w:val="18"/>
                <w:szCs w:val="18"/>
                <w:highlight w:val="none"/>
              </w:rPr>
            </w:pPr>
          </w:p>
        </w:tc>
      </w:tr>
      <w:tr w14:paraId="10ED190E">
        <w:tblPrEx>
          <w:tblCellMar>
            <w:top w:w="0" w:type="dxa"/>
            <w:left w:w="108" w:type="dxa"/>
            <w:bottom w:w="0" w:type="dxa"/>
            <w:right w:w="108" w:type="dxa"/>
          </w:tblCellMar>
        </w:tblPrEx>
        <w:trPr>
          <w:trHeight w:val="270" w:hRule="atLeast"/>
        </w:trPr>
        <w:tc>
          <w:tcPr>
            <w:tcW w:w="1812" w:type="dxa"/>
            <w:vMerge w:val="continue"/>
            <w:tcBorders>
              <w:top w:val="nil"/>
              <w:left w:val="single" w:color="auto" w:sz="4" w:space="0"/>
              <w:bottom w:val="single" w:color="auto" w:sz="4" w:space="0"/>
              <w:right w:val="single" w:color="auto" w:sz="4" w:space="0"/>
            </w:tcBorders>
            <w:noWrap w:val="0"/>
            <w:vAlign w:val="center"/>
          </w:tcPr>
          <w:p w14:paraId="35804B7D">
            <w:pPr>
              <w:widowControl/>
              <w:spacing w:line="360" w:lineRule="auto"/>
              <w:jc w:val="left"/>
              <w:rPr>
                <w:rFonts w:hAnsi="宋体" w:cs="宋体"/>
                <w:b/>
                <w:bCs/>
                <w:color w:val="auto"/>
                <w:sz w:val="18"/>
                <w:szCs w:val="18"/>
                <w:highlight w:val="none"/>
              </w:rPr>
            </w:pPr>
          </w:p>
        </w:tc>
        <w:tc>
          <w:tcPr>
            <w:tcW w:w="1656" w:type="dxa"/>
            <w:tcBorders>
              <w:top w:val="nil"/>
              <w:left w:val="nil"/>
              <w:bottom w:val="single" w:color="auto" w:sz="4" w:space="0"/>
              <w:right w:val="single" w:color="auto" w:sz="4" w:space="0"/>
            </w:tcBorders>
            <w:noWrap w:val="0"/>
            <w:vAlign w:val="center"/>
          </w:tcPr>
          <w:p w14:paraId="63419F59">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72E2A1E1">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0EB290CD">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31B91F49">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4DD2194C">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03396C42">
            <w:pPr>
              <w:widowControl/>
              <w:spacing w:line="360" w:lineRule="auto"/>
              <w:jc w:val="center"/>
              <w:rPr>
                <w:rFonts w:hAnsi="宋体" w:cs="宋体"/>
                <w:color w:val="auto"/>
                <w:sz w:val="18"/>
                <w:szCs w:val="18"/>
                <w:highlight w:val="none"/>
              </w:rPr>
            </w:pPr>
          </w:p>
        </w:tc>
      </w:tr>
      <w:tr w14:paraId="066818FF">
        <w:tblPrEx>
          <w:tblCellMar>
            <w:top w:w="0" w:type="dxa"/>
            <w:left w:w="108" w:type="dxa"/>
            <w:bottom w:w="0" w:type="dxa"/>
            <w:right w:w="108" w:type="dxa"/>
          </w:tblCellMar>
        </w:tblPrEx>
        <w:trPr>
          <w:trHeight w:val="270" w:hRule="atLeast"/>
        </w:trPr>
        <w:tc>
          <w:tcPr>
            <w:tcW w:w="1812" w:type="dxa"/>
            <w:vMerge w:val="continue"/>
            <w:tcBorders>
              <w:top w:val="nil"/>
              <w:left w:val="single" w:color="auto" w:sz="4" w:space="0"/>
              <w:bottom w:val="single" w:color="auto" w:sz="4" w:space="0"/>
              <w:right w:val="single" w:color="auto" w:sz="4" w:space="0"/>
            </w:tcBorders>
            <w:noWrap w:val="0"/>
            <w:vAlign w:val="center"/>
          </w:tcPr>
          <w:p w14:paraId="1CBC8A3D">
            <w:pPr>
              <w:widowControl/>
              <w:spacing w:line="360" w:lineRule="auto"/>
              <w:jc w:val="left"/>
              <w:rPr>
                <w:rFonts w:hAnsi="宋体" w:cs="宋体"/>
                <w:b/>
                <w:bCs/>
                <w:color w:val="auto"/>
                <w:sz w:val="18"/>
                <w:szCs w:val="18"/>
                <w:highlight w:val="none"/>
              </w:rPr>
            </w:pPr>
          </w:p>
        </w:tc>
        <w:tc>
          <w:tcPr>
            <w:tcW w:w="1656" w:type="dxa"/>
            <w:tcBorders>
              <w:top w:val="nil"/>
              <w:left w:val="nil"/>
              <w:bottom w:val="single" w:color="auto" w:sz="4" w:space="0"/>
              <w:right w:val="single" w:color="auto" w:sz="4" w:space="0"/>
            </w:tcBorders>
            <w:noWrap w:val="0"/>
            <w:vAlign w:val="center"/>
          </w:tcPr>
          <w:p w14:paraId="79BBC5B0">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745379A6">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3591C937">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0C6BB7CC">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043A15D8">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1627397A">
            <w:pPr>
              <w:widowControl/>
              <w:spacing w:line="360" w:lineRule="auto"/>
              <w:jc w:val="center"/>
              <w:rPr>
                <w:rFonts w:hAnsi="宋体" w:cs="宋体"/>
                <w:color w:val="auto"/>
                <w:sz w:val="18"/>
                <w:szCs w:val="18"/>
                <w:highlight w:val="none"/>
              </w:rPr>
            </w:pPr>
          </w:p>
        </w:tc>
      </w:tr>
      <w:tr w14:paraId="6431D4DC">
        <w:tblPrEx>
          <w:tblCellMar>
            <w:top w:w="0" w:type="dxa"/>
            <w:left w:w="108" w:type="dxa"/>
            <w:bottom w:w="0" w:type="dxa"/>
            <w:right w:w="108" w:type="dxa"/>
          </w:tblCellMar>
        </w:tblPrEx>
        <w:trPr>
          <w:trHeight w:val="270" w:hRule="atLeast"/>
        </w:trPr>
        <w:tc>
          <w:tcPr>
            <w:tcW w:w="1812" w:type="dxa"/>
            <w:vMerge w:val="continue"/>
            <w:tcBorders>
              <w:top w:val="nil"/>
              <w:left w:val="single" w:color="auto" w:sz="4" w:space="0"/>
              <w:bottom w:val="single" w:color="auto" w:sz="4" w:space="0"/>
              <w:right w:val="single" w:color="auto" w:sz="4" w:space="0"/>
            </w:tcBorders>
            <w:noWrap w:val="0"/>
            <w:vAlign w:val="center"/>
          </w:tcPr>
          <w:p w14:paraId="5ABC04D3">
            <w:pPr>
              <w:widowControl/>
              <w:spacing w:line="360" w:lineRule="auto"/>
              <w:jc w:val="left"/>
              <w:rPr>
                <w:rFonts w:hAnsi="宋体" w:cs="宋体"/>
                <w:b/>
                <w:bCs/>
                <w:color w:val="auto"/>
                <w:sz w:val="18"/>
                <w:szCs w:val="18"/>
                <w:highlight w:val="none"/>
              </w:rPr>
            </w:pPr>
          </w:p>
        </w:tc>
        <w:tc>
          <w:tcPr>
            <w:tcW w:w="1656" w:type="dxa"/>
            <w:tcBorders>
              <w:top w:val="nil"/>
              <w:left w:val="nil"/>
              <w:bottom w:val="single" w:color="auto" w:sz="4" w:space="0"/>
              <w:right w:val="single" w:color="auto" w:sz="4" w:space="0"/>
            </w:tcBorders>
            <w:noWrap w:val="0"/>
            <w:vAlign w:val="center"/>
          </w:tcPr>
          <w:p w14:paraId="28388719">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12EA8DA1">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051ADBE0">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7CB697BE">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6BC4040E">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01A4B7B8">
            <w:pPr>
              <w:widowControl/>
              <w:spacing w:line="360" w:lineRule="auto"/>
              <w:jc w:val="center"/>
              <w:rPr>
                <w:rFonts w:hAnsi="宋体" w:cs="宋体"/>
                <w:color w:val="auto"/>
                <w:sz w:val="18"/>
                <w:szCs w:val="18"/>
                <w:highlight w:val="none"/>
              </w:rPr>
            </w:pPr>
          </w:p>
        </w:tc>
      </w:tr>
      <w:tr w14:paraId="4B1C8356">
        <w:trPr>
          <w:trHeight w:val="454" w:hRule="atLeast"/>
        </w:trPr>
        <w:tc>
          <w:tcPr>
            <w:tcW w:w="1812" w:type="dxa"/>
            <w:vMerge w:val="continue"/>
            <w:tcBorders>
              <w:top w:val="nil"/>
              <w:left w:val="single" w:color="auto" w:sz="4" w:space="0"/>
              <w:bottom w:val="single" w:color="auto" w:sz="4" w:space="0"/>
              <w:right w:val="single" w:color="auto" w:sz="4" w:space="0"/>
            </w:tcBorders>
            <w:noWrap w:val="0"/>
            <w:vAlign w:val="center"/>
          </w:tcPr>
          <w:p w14:paraId="6827DF7C">
            <w:pPr>
              <w:widowControl/>
              <w:spacing w:line="360" w:lineRule="auto"/>
              <w:jc w:val="left"/>
              <w:rPr>
                <w:rFonts w:hAnsi="宋体" w:cs="宋体"/>
                <w:b/>
                <w:bCs/>
                <w:color w:val="auto"/>
                <w:sz w:val="18"/>
                <w:szCs w:val="18"/>
                <w:highlight w:val="none"/>
              </w:rPr>
            </w:pPr>
          </w:p>
        </w:tc>
        <w:tc>
          <w:tcPr>
            <w:tcW w:w="1656" w:type="dxa"/>
            <w:tcBorders>
              <w:top w:val="nil"/>
              <w:left w:val="nil"/>
              <w:bottom w:val="single" w:color="auto" w:sz="4" w:space="0"/>
              <w:right w:val="single" w:color="auto" w:sz="4" w:space="0"/>
            </w:tcBorders>
            <w:noWrap w:val="0"/>
            <w:vAlign w:val="center"/>
          </w:tcPr>
          <w:p w14:paraId="447C021F">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03186BE2">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39486A72">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353CAF8D">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56A89C79">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0400F39E">
            <w:pPr>
              <w:widowControl/>
              <w:spacing w:line="360" w:lineRule="auto"/>
              <w:jc w:val="center"/>
              <w:rPr>
                <w:rFonts w:hAnsi="宋体" w:cs="宋体"/>
                <w:color w:val="auto"/>
                <w:sz w:val="18"/>
                <w:szCs w:val="18"/>
                <w:highlight w:val="none"/>
              </w:rPr>
            </w:pPr>
          </w:p>
        </w:tc>
      </w:tr>
      <w:tr w14:paraId="59CB6F14">
        <w:tblPrEx>
          <w:tblCellMar>
            <w:top w:w="0" w:type="dxa"/>
            <w:left w:w="108" w:type="dxa"/>
            <w:bottom w:w="0" w:type="dxa"/>
            <w:right w:w="108" w:type="dxa"/>
          </w:tblCellMar>
        </w:tblPrEx>
        <w:trPr>
          <w:trHeight w:val="270" w:hRule="atLeast"/>
        </w:trPr>
        <w:tc>
          <w:tcPr>
            <w:tcW w:w="1812" w:type="dxa"/>
            <w:vMerge w:val="restart"/>
            <w:tcBorders>
              <w:left w:val="single" w:color="auto" w:sz="4" w:space="0"/>
              <w:right w:val="single" w:color="auto" w:sz="4" w:space="0"/>
            </w:tcBorders>
            <w:noWrap w:val="0"/>
            <w:vAlign w:val="center"/>
          </w:tcPr>
          <w:p w14:paraId="34CB0839">
            <w:pPr>
              <w:widowControl/>
              <w:spacing w:line="360" w:lineRule="auto"/>
              <w:jc w:val="center"/>
              <w:rPr>
                <w:rFonts w:hint="eastAsia" w:hAnsi="宋体" w:cs="宋体"/>
                <w:color w:val="auto"/>
                <w:sz w:val="21"/>
                <w:szCs w:val="21"/>
                <w:highlight w:val="none"/>
              </w:rPr>
            </w:pPr>
            <w:r>
              <w:rPr>
                <w:rFonts w:hint="eastAsia" w:hAnsi="宋体" w:cs="宋体"/>
                <w:color w:val="auto"/>
                <w:sz w:val="21"/>
                <w:szCs w:val="21"/>
                <w:highlight w:val="none"/>
              </w:rPr>
              <w:t>场所改造及场所配套设施清单（包含在成交总价内）</w:t>
            </w:r>
          </w:p>
        </w:tc>
        <w:tc>
          <w:tcPr>
            <w:tcW w:w="1656" w:type="dxa"/>
            <w:tcBorders>
              <w:top w:val="nil"/>
              <w:left w:val="nil"/>
              <w:bottom w:val="single" w:color="auto" w:sz="4" w:space="0"/>
              <w:right w:val="single" w:color="auto" w:sz="4" w:space="0"/>
            </w:tcBorders>
            <w:noWrap w:val="0"/>
            <w:vAlign w:val="center"/>
          </w:tcPr>
          <w:p w14:paraId="5CEF3487">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486FE3E4">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17F0C1B3">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6E6382CC">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0647F24E">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51CB07EE">
            <w:pPr>
              <w:widowControl/>
              <w:spacing w:line="360" w:lineRule="auto"/>
              <w:jc w:val="center"/>
              <w:rPr>
                <w:rFonts w:hAnsi="宋体" w:cs="宋体"/>
                <w:color w:val="auto"/>
                <w:sz w:val="18"/>
                <w:szCs w:val="18"/>
                <w:highlight w:val="none"/>
              </w:rPr>
            </w:pPr>
          </w:p>
        </w:tc>
      </w:tr>
      <w:tr w14:paraId="19C3A6E0">
        <w:tblPrEx>
          <w:tblCellMar>
            <w:top w:w="0" w:type="dxa"/>
            <w:left w:w="108" w:type="dxa"/>
            <w:bottom w:w="0" w:type="dxa"/>
            <w:right w:w="108" w:type="dxa"/>
          </w:tblCellMar>
        </w:tblPrEx>
        <w:trPr>
          <w:trHeight w:val="270" w:hRule="atLeast"/>
        </w:trPr>
        <w:tc>
          <w:tcPr>
            <w:tcW w:w="1812" w:type="dxa"/>
            <w:vMerge w:val="continue"/>
            <w:tcBorders>
              <w:left w:val="single" w:color="auto" w:sz="4" w:space="0"/>
              <w:bottom w:val="single" w:color="auto" w:sz="4" w:space="0"/>
              <w:right w:val="single" w:color="auto" w:sz="4" w:space="0"/>
            </w:tcBorders>
            <w:noWrap w:val="0"/>
            <w:vAlign w:val="center"/>
          </w:tcPr>
          <w:p w14:paraId="33F496CF">
            <w:pPr>
              <w:widowControl/>
              <w:spacing w:line="360" w:lineRule="auto"/>
              <w:jc w:val="left"/>
              <w:rPr>
                <w:rFonts w:hAnsi="宋体" w:cs="宋体"/>
                <w:color w:val="auto"/>
                <w:sz w:val="21"/>
                <w:szCs w:val="21"/>
                <w:highlight w:val="none"/>
              </w:rPr>
            </w:pPr>
          </w:p>
        </w:tc>
        <w:tc>
          <w:tcPr>
            <w:tcW w:w="1656" w:type="dxa"/>
            <w:tcBorders>
              <w:top w:val="nil"/>
              <w:left w:val="nil"/>
              <w:bottom w:val="single" w:color="auto" w:sz="4" w:space="0"/>
              <w:right w:val="single" w:color="auto" w:sz="4" w:space="0"/>
            </w:tcBorders>
            <w:noWrap w:val="0"/>
            <w:vAlign w:val="center"/>
          </w:tcPr>
          <w:p w14:paraId="2D1EE882">
            <w:pPr>
              <w:widowControl/>
              <w:spacing w:line="360" w:lineRule="auto"/>
              <w:jc w:val="center"/>
              <w:rPr>
                <w:rFonts w:hAnsi="宋体" w:cs="宋体"/>
                <w:color w:val="auto"/>
                <w:sz w:val="18"/>
                <w:szCs w:val="18"/>
                <w:highlight w:val="none"/>
              </w:rPr>
            </w:pPr>
          </w:p>
        </w:tc>
        <w:tc>
          <w:tcPr>
            <w:tcW w:w="1440" w:type="dxa"/>
            <w:tcBorders>
              <w:top w:val="nil"/>
              <w:left w:val="single" w:color="auto" w:sz="4" w:space="0"/>
              <w:bottom w:val="single" w:color="auto" w:sz="4" w:space="0"/>
              <w:right w:val="single" w:color="auto" w:sz="4" w:space="0"/>
            </w:tcBorders>
            <w:noWrap w:val="0"/>
            <w:vAlign w:val="center"/>
          </w:tcPr>
          <w:p w14:paraId="54D92175">
            <w:pPr>
              <w:widowControl/>
              <w:spacing w:line="360" w:lineRule="auto"/>
              <w:jc w:val="center"/>
              <w:rPr>
                <w:rFonts w:hAnsi="宋体" w:cs="宋体"/>
                <w:color w:val="auto"/>
                <w:sz w:val="18"/>
                <w:szCs w:val="18"/>
                <w:highlight w:val="none"/>
              </w:rPr>
            </w:pPr>
          </w:p>
        </w:tc>
        <w:tc>
          <w:tcPr>
            <w:tcW w:w="1380" w:type="dxa"/>
            <w:tcBorders>
              <w:top w:val="nil"/>
              <w:left w:val="single" w:color="auto" w:sz="4" w:space="0"/>
              <w:bottom w:val="single" w:color="auto" w:sz="4" w:space="0"/>
              <w:right w:val="single" w:color="auto" w:sz="4" w:space="0"/>
            </w:tcBorders>
            <w:noWrap w:val="0"/>
            <w:vAlign w:val="center"/>
          </w:tcPr>
          <w:p w14:paraId="2FB1164C">
            <w:pPr>
              <w:widowControl/>
              <w:spacing w:line="360" w:lineRule="auto"/>
              <w:jc w:val="center"/>
              <w:rPr>
                <w:rFonts w:hAnsi="宋体" w:cs="宋体"/>
                <w:color w:val="auto"/>
                <w:sz w:val="18"/>
                <w:szCs w:val="18"/>
                <w:highlight w:val="none"/>
              </w:rPr>
            </w:pPr>
          </w:p>
        </w:tc>
        <w:tc>
          <w:tcPr>
            <w:tcW w:w="810" w:type="dxa"/>
            <w:tcBorders>
              <w:top w:val="nil"/>
              <w:left w:val="nil"/>
              <w:bottom w:val="single" w:color="auto" w:sz="4" w:space="0"/>
              <w:right w:val="single" w:color="auto" w:sz="4" w:space="0"/>
            </w:tcBorders>
            <w:noWrap w:val="0"/>
            <w:vAlign w:val="center"/>
          </w:tcPr>
          <w:p w14:paraId="4742A888">
            <w:pPr>
              <w:widowControl/>
              <w:spacing w:line="360" w:lineRule="auto"/>
              <w:jc w:val="center"/>
              <w:rPr>
                <w:rFonts w:hAnsi="宋体" w:cs="宋体"/>
                <w:color w:val="auto"/>
                <w:sz w:val="18"/>
                <w:szCs w:val="18"/>
                <w:highlight w:val="none"/>
              </w:rPr>
            </w:pPr>
          </w:p>
        </w:tc>
        <w:tc>
          <w:tcPr>
            <w:tcW w:w="1305" w:type="dxa"/>
            <w:tcBorders>
              <w:top w:val="nil"/>
              <w:left w:val="nil"/>
              <w:bottom w:val="single" w:color="auto" w:sz="4" w:space="0"/>
              <w:right w:val="single" w:color="auto" w:sz="4" w:space="0"/>
            </w:tcBorders>
            <w:noWrap w:val="0"/>
            <w:vAlign w:val="center"/>
          </w:tcPr>
          <w:p w14:paraId="4DCD886A">
            <w:pPr>
              <w:widowControl/>
              <w:spacing w:line="360" w:lineRule="auto"/>
              <w:jc w:val="center"/>
              <w:rPr>
                <w:rFonts w:hAnsi="宋体" w:cs="宋体"/>
                <w:color w:val="auto"/>
                <w:sz w:val="18"/>
                <w:szCs w:val="18"/>
                <w:highlight w:val="none"/>
              </w:rPr>
            </w:pPr>
          </w:p>
        </w:tc>
        <w:tc>
          <w:tcPr>
            <w:tcW w:w="975" w:type="dxa"/>
            <w:tcBorders>
              <w:top w:val="nil"/>
              <w:left w:val="nil"/>
              <w:bottom w:val="single" w:color="auto" w:sz="4" w:space="0"/>
              <w:right w:val="single" w:color="auto" w:sz="4" w:space="0"/>
            </w:tcBorders>
            <w:noWrap w:val="0"/>
            <w:vAlign w:val="center"/>
          </w:tcPr>
          <w:p w14:paraId="20F35DEF">
            <w:pPr>
              <w:widowControl/>
              <w:spacing w:line="360" w:lineRule="auto"/>
              <w:jc w:val="center"/>
              <w:rPr>
                <w:rFonts w:hAnsi="宋体" w:cs="宋体"/>
                <w:color w:val="auto"/>
                <w:sz w:val="18"/>
                <w:szCs w:val="18"/>
                <w:highlight w:val="none"/>
              </w:rPr>
            </w:pPr>
          </w:p>
        </w:tc>
      </w:tr>
      <w:tr w14:paraId="28DF7407">
        <w:tblPrEx>
          <w:tblCellMar>
            <w:top w:w="0" w:type="dxa"/>
            <w:left w:w="108" w:type="dxa"/>
            <w:bottom w:w="0" w:type="dxa"/>
            <w:right w:w="108" w:type="dxa"/>
          </w:tblCellMar>
        </w:tblPrEx>
        <w:trPr>
          <w:trHeight w:val="189" w:hRule="atLeast"/>
        </w:trPr>
        <w:tc>
          <w:tcPr>
            <w:tcW w:w="1812" w:type="dxa"/>
            <w:tcBorders>
              <w:top w:val="single" w:color="auto" w:sz="4" w:space="0"/>
              <w:left w:val="single" w:color="auto" w:sz="4" w:space="0"/>
              <w:bottom w:val="single" w:color="auto" w:sz="4" w:space="0"/>
              <w:right w:val="single" w:color="auto" w:sz="4" w:space="0"/>
            </w:tcBorders>
            <w:noWrap w:val="0"/>
            <w:vAlign w:val="center"/>
          </w:tcPr>
          <w:p w14:paraId="02406C7A">
            <w:pPr>
              <w:spacing w:line="360" w:lineRule="auto"/>
              <w:jc w:val="center"/>
              <w:rPr>
                <w:rFonts w:hint="eastAsia" w:hAnsi="宋体" w:cs="宋体"/>
                <w:color w:val="auto"/>
                <w:sz w:val="21"/>
                <w:szCs w:val="21"/>
                <w:highlight w:val="none"/>
              </w:rPr>
            </w:pPr>
            <w:r>
              <w:rPr>
                <w:rFonts w:hint="eastAsia" w:hAnsi="宋体" w:cs="宋体"/>
                <w:color w:val="auto"/>
                <w:sz w:val="21"/>
                <w:szCs w:val="21"/>
                <w:highlight w:val="none"/>
              </w:rPr>
              <w:t>合计</w:t>
            </w:r>
          </w:p>
        </w:tc>
        <w:tc>
          <w:tcPr>
            <w:tcW w:w="7566" w:type="dxa"/>
            <w:gridSpan w:val="6"/>
            <w:tcBorders>
              <w:top w:val="single" w:color="auto" w:sz="4" w:space="0"/>
              <w:left w:val="single" w:color="auto" w:sz="4" w:space="0"/>
              <w:bottom w:val="single" w:color="auto" w:sz="4" w:space="0"/>
              <w:right w:val="single" w:color="auto" w:sz="4" w:space="0"/>
            </w:tcBorders>
            <w:noWrap w:val="0"/>
            <w:vAlign w:val="center"/>
          </w:tcPr>
          <w:p w14:paraId="67DFCEBD">
            <w:pPr>
              <w:spacing w:line="360" w:lineRule="auto"/>
              <w:jc w:val="center"/>
              <w:rPr>
                <w:rFonts w:hint="eastAsia" w:hAnsi="宋体" w:cs="宋体"/>
                <w:color w:val="auto"/>
                <w:sz w:val="21"/>
                <w:szCs w:val="21"/>
                <w:highlight w:val="none"/>
              </w:rPr>
            </w:pPr>
            <w:r>
              <w:rPr>
                <w:rFonts w:hint="eastAsia" w:hAnsi="宋体" w:cs="宋体"/>
                <w:color w:val="auto"/>
                <w:sz w:val="21"/>
                <w:szCs w:val="21"/>
                <w:highlight w:val="none"/>
              </w:rPr>
              <w:t>人民币（大写）：     元整（小写¥：     万元）</w:t>
            </w:r>
          </w:p>
        </w:tc>
      </w:tr>
    </w:tbl>
    <w:p w14:paraId="224AC029">
      <w:pPr>
        <w:spacing w:line="360" w:lineRule="auto"/>
        <w:rPr>
          <w:rFonts w:hint="eastAsia" w:hAnsi="宋体" w:cs="宋体"/>
          <w:b/>
          <w:bCs/>
          <w:color w:val="auto"/>
          <w:sz w:val="24"/>
          <w:szCs w:val="24"/>
          <w:highlight w:val="none"/>
        </w:rPr>
      </w:pPr>
    </w:p>
    <w:p w14:paraId="0E086A9B">
      <w:pPr>
        <w:spacing w:line="360" w:lineRule="auto"/>
        <w:rPr>
          <w:rFonts w:hint="eastAsia" w:hAnsi="宋体" w:cs="宋体"/>
          <w:b/>
          <w:bCs/>
          <w:color w:val="auto"/>
          <w:sz w:val="24"/>
          <w:szCs w:val="24"/>
          <w:highlight w:val="none"/>
        </w:rPr>
      </w:pPr>
    </w:p>
    <w:p w14:paraId="4A9DA806">
      <w:pPr>
        <w:spacing w:line="360" w:lineRule="auto"/>
        <w:rPr>
          <w:rFonts w:hAnsi="宋体"/>
          <w:color w:val="auto"/>
          <w:highlight w:val="none"/>
        </w:rPr>
      </w:pPr>
      <w:r>
        <w:rPr>
          <w:rFonts w:hint="eastAsia" w:hAnsi="宋体" w:cs="宋体"/>
          <w:b/>
          <w:bCs/>
          <w:color w:val="auto"/>
          <w:sz w:val="24"/>
          <w:szCs w:val="24"/>
          <w:highlight w:val="none"/>
        </w:rPr>
        <w:t>二、</w:t>
      </w:r>
      <w:r>
        <w:rPr>
          <w:rFonts w:hint="eastAsia" w:hAnsi="宋体" w:cs="宋体"/>
          <w:b/>
          <w:color w:val="auto"/>
          <w:sz w:val="24"/>
          <w:szCs w:val="24"/>
          <w:highlight w:val="none"/>
        </w:rPr>
        <w:t>易损件价格清单表（此表中所含的易损件已包含在附件一中，此表仅作为更换易损件的价格参考）：</w:t>
      </w:r>
    </w:p>
    <w:tbl>
      <w:tblPr>
        <w:tblStyle w:val="7"/>
        <w:tblpPr w:leftFromText="180" w:rightFromText="180" w:vertAnchor="text" w:horzAnchor="page" w:tblpX="1404" w:tblpY="160"/>
        <w:tblOverlap w:val="never"/>
        <w:tblW w:w="8835" w:type="dxa"/>
        <w:jc w:val="center"/>
        <w:tblLayout w:type="fixed"/>
        <w:tblCellMar>
          <w:top w:w="0" w:type="dxa"/>
          <w:left w:w="108" w:type="dxa"/>
          <w:bottom w:w="0" w:type="dxa"/>
          <w:right w:w="108" w:type="dxa"/>
        </w:tblCellMar>
      </w:tblPr>
      <w:tblGrid>
        <w:gridCol w:w="625"/>
        <w:gridCol w:w="1462"/>
        <w:gridCol w:w="1753"/>
        <w:gridCol w:w="1035"/>
        <w:gridCol w:w="2040"/>
        <w:gridCol w:w="660"/>
        <w:gridCol w:w="1260"/>
      </w:tblGrid>
      <w:tr w14:paraId="479CF619">
        <w:tblPrEx>
          <w:tblCellMar>
            <w:top w:w="0" w:type="dxa"/>
            <w:left w:w="108" w:type="dxa"/>
            <w:bottom w:w="0" w:type="dxa"/>
            <w:right w:w="108" w:type="dxa"/>
          </w:tblCellMar>
        </w:tblPrEx>
        <w:trPr>
          <w:trHeight w:val="642" w:hRule="atLeast"/>
          <w:jc w:val="center"/>
        </w:trPr>
        <w:tc>
          <w:tcPr>
            <w:tcW w:w="625" w:type="dxa"/>
            <w:tcBorders>
              <w:top w:val="single" w:color="auto" w:sz="4" w:space="0"/>
              <w:left w:val="single" w:color="auto" w:sz="4" w:space="0"/>
              <w:bottom w:val="single" w:color="auto" w:sz="4" w:space="0"/>
              <w:right w:val="single" w:color="auto" w:sz="4" w:space="0"/>
            </w:tcBorders>
            <w:noWrap w:val="0"/>
            <w:vAlign w:val="center"/>
          </w:tcPr>
          <w:p w14:paraId="678408FB">
            <w:pPr>
              <w:widowControl/>
              <w:jc w:val="center"/>
              <w:rPr>
                <w:rFonts w:hAnsi="宋体" w:cs="宋体"/>
                <w:b/>
                <w:bCs/>
                <w:color w:val="auto"/>
                <w:sz w:val="18"/>
                <w:szCs w:val="18"/>
                <w:highlight w:val="none"/>
              </w:rPr>
            </w:pPr>
            <w:r>
              <w:rPr>
                <w:rFonts w:hint="eastAsia" w:hAnsi="宋体" w:cs="宋体"/>
                <w:b/>
                <w:bCs/>
                <w:color w:val="auto"/>
                <w:sz w:val="18"/>
                <w:szCs w:val="18"/>
                <w:highlight w:val="none"/>
              </w:rPr>
              <w:t>序号</w:t>
            </w:r>
          </w:p>
        </w:tc>
        <w:tc>
          <w:tcPr>
            <w:tcW w:w="1462" w:type="dxa"/>
            <w:tcBorders>
              <w:top w:val="single" w:color="auto" w:sz="4" w:space="0"/>
              <w:left w:val="nil"/>
              <w:bottom w:val="single" w:color="auto" w:sz="4" w:space="0"/>
              <w:right w:val="single" w:color="auto" w:sz="4" w:space="0"/>
            </w:tcBorders>
            <w:noWrap w:val="0"/>
            <w:vAlign w:val="center"/>
          </w:tcPr>
          <w:p w14:paraId="6B975DEB">
            <w:pPr>
              <w:widowControl/>
              <w:jc w:val="center"/>
              <w:rPr>
                <w:rFonts w:hAnsi="宋体" w:cs="宋体"/>
                <w:b/>
                <w:bCs/>
                <w:color w:val="auto"/>
                <w:sz w:val="18"/>
                <w:szCs w:val="18"/>
                <w:highlight w:val="none"/>
              </w:rPr>
            </w:pPr>
            <w:r>
              <w:rPr>
                <w:rFonts w:hint="eastAsia" w:hAnsi="宋体" w:cs="宋体"/>
                <w:b/>
                <w:bCs/>
                <w:color w:val="auto"/>
                <w:sz w:val="18"/>
                <w:szCs w:val="18"/>
                <w:highlight w:val="none"/>
              </w:rPr>
              <w:t>名称</w:t>
            </w:r>
          </w:p>
        </w:tc>
        <w:tc>
          <w:tcPr>
            <w:tcW w:w="1753" w:type="dxa"/>
            <w:tcBorders>
              <w:top w:val="single" w:color="auto" w:sz="4" w:space="0"/>
              <w:left w:val="nil"/>
              <w:bottom w:val="single" w:color="auto" w:sz="4" w:space="0"/>
              <w:right w:val="single" w:color="auto" w:sz="4" w:space="0"/>
            </w:tcBorders>
            <w:noWrap w:val="0"/>
            <w:vAlign w:val="center"/>
          </w:tcPr>
          <w:p w14:paraId="6FF1D37A">
            <w:pPr>
              <w:widowControl/>
              <w:jc w:val="center"/>
              <w:rPr>
                <w:rFonts w:hAnsi="宋体" w:cs="宋体"/>
                <w:b/>
                <w:bCs/>
                <w:color w:val="auto"/>
                <w:sz w:val="18"/>
                <w:szCs w:val="18"/>
                <w:highlight w:val="none"/>
              </w:rPr>
            </w:pPr>
            <w:r>
              <w:rPr>
                <w:rFonts w:hint="eastAsia" w:hAnsi="宋体" w:cs="宋体"/>
                <w:b/>
                <w:bCs/>
                <w:color w:val="auto"/>
                <w:sz w:val="18"/>
                <w:szCs w:val="18"/>
                <w:highlight w:val="none"/>
              </w:rPr>
              <w:t>生产厂家</w:t>
            </w:r>
          </w:p>
        </w:tc>
        <w:tc>
          <w:tcPr>
            <w:tcW w:w="1035" w:type="dxa"/>
            <w:tcBorders>
              <w:top w:val="single" w:color="auto" w:sz="4" w:space="0"/>
              <w:left w:val="nil"/>
              <w:bottom w:val="single" w:color="auto" w:sz="4" w:space="0"/>
              <w:right w:val="single" w:color="auto" w:sz="4" w:space="0"/>
            </w:tcBorders>
            <w:noWrap w:val="0"/>
            <w:vAlign w:val="center"/>
          </w:tcPr>
          <w:p w14:paraId="64916F5A">
            <w:pPr>
              <w:widowControl/>
              <w:jc w:val="center"/>
              <w:rPr>
                <w:rFonts w:hAnsi="宋体" w:cs="宋体"/>
                <w:b/>
                <w:bCs/>
                <w:color w:val="auto"/>
                <w:sz w:val="18"/>
                <w:szCs w:val="18"/>
                <w:highlight w:val="none"/>
              </w:rPr>
            </w:pPr>
            <w:r>
              <w:rPr>
                <w:rFonts w:hint="eastAsia" w:hAnsi="宋体" w:cs="宋体"/>
                <w:b/>
                <w:bCs/>
                <w:color w:val="auto"/>
                <w:sz w:val="18"/>
                <w:szCs w:val="18"/>
                <w:highlight w:val="none"/>
              </w:rPr>
              <w:t>产地</w:t>
            </w:r>
          </w:p>
        </w:tc>
        <w:tc>
          <w:tcPr>
            <w:tcW w:w="2040" w:type="dxa"/>
            <w:tcBorders>
              <w:top w:val="single" w:color="auto" w:sz="4" w:space="0"/>
              <w:left w:val="nil"/>
              <w:bottom w:val="single" w:color="auto" w:sz="4" w:space="0"/>
              <w:right w:val="single" w:color="auto" w:sz="4" w:space="0"/>
            </w:tcBorders>
            <w:noWrap w:val="0"/>
            <w:vAlign w:val="center"/>
          </w:tcPr>
          <w:p w14:paraId="72646F13">
            <w:pPr>
              <w:widowControl/>
              <w:jc w:val="center"/>
              <w:rPr>
                <w:rFonts w:hAnsi="宋体" w:cs="宋体"/>
                <w:b/>
                <w:bCs/>
                <w:color w:val="auto"/>
                <w:sz w:val="18"/>
                <w:szCs w:val="18"/>
                <w:highlight w:val="none"/>
              </w:rPr>
            </w:pPr>
            <w:r>
              <w:rPr>
                <w:rFonts w:hint="eastAsia" w:hAnsi="宋体" w:cs="宋体"/>
                <w:b/>
                <w:bCs/>
                <w:color w:val="auto"/>
                <w:sz w:val="18"/>
                <w:szCs w:val="18"/>
                <w:highlight w:val="none"/>
              </w:rPr>
              <w:t>品牌、规格、型号</w:t>
            </w:r>
          </w:p>
        </w:tc>
        <w:tc>
          <w:tcPr>
            <w:tcW w:w="660" w:type="dxa"/>
            <w:tcBorders>
              <w:top w:val="single" w:color="auto" w:sz="4" w:space="0"/>
              <w:left w:val="nil"/>
              <w:bottom w:val="single" w:color="auto" w:sz="4" w:space="0"/>
              <w:right w:val="single" w:color="auto" w:sz="4" w:space="0"/>
            </w:tcBorders>
            <w:noWrap w:val="0"/>
            <w:vAlign w:val="center"/>
          </w:tcPr>
          <w:p w14:paraId="21691B1A">
            <w:pPr>
              <w:widowControl/>
              <w:jc w:val="center"/>
              <w:rPr>
                <w:rFonts w:hAnsi="宋体" w:cs="宋体"/>
                <w:b/>
                <w:bCs/>
                <w:color w:val="auto"/>
                <w:sz w:val="18"/>
                <w:szCs w:val="18"/>
                <w:highlight w:val="none"/>
              </w:rPr>
            </w:pPr>
            <w:r>
              <w:rPr>
                <w:rFonts w:hint="eastAsia" w:hAnsi="宋体" w:cs="宋体"/>
                <w:b/>
                <w:bCs/>
                <w:color w:val="auto"/>
                <w:sz w:val="18"/>
                <w:szCs w:val="18"/>
                <w:highlight w:val="none"/>
              </w:rPr>
              <w:t>单位</w:t>
            </w:r>
          </w:p>
        </w:tc>
        <w:tc>
          <w:tcPr>
            <w:tcW w:w="1260" w:type="dxa"/>
            <w:tcBorders>
              <w:top w:val="single" w:color="auto" w:sz="4" w:space="0"/>
              <w:left w:val="nil"/>
              <w:bottom w:val="single" w:color="auto" w:sz="4" w:space="0"/>
              <w:right w:val="single" w:color="auto" w:sz="4" w:space="0"/>
            </w:tcBorders>
            <w:noWrap w:val="0"/>
            <w:vAlign w:val="center"/>
          </w:tcPr>
          <w:p w14:paraId="26E6C199">
            <w:pPr>
              <w:widowControl/>
              <w:jc w:val="center"/>
              <w:rPr>
                <w:rFonts w:hAnsi="宋体" w:cs="宋体"/>
                <w:b/>
                <w:bCs/>
                <w:color w:val="auto"/>
                <w:sz w:val="18"/>
                <w:szCs w:val="18"/>
                <w:highlight w:val="none"/>
              </w:rPr>
            </w:pPr>
            <w:r>
              <w:rPr>
                <w:rFonts w:hint="eastAsia" w:hAnsi="宋体" w:cs="宋体"/>
                <w:b/>
                <w:bCs/>
                <w:color w:val="auto"/>
                <w:sz w:val="18"/>
                <w:szCs w:val="18"/>
                <w:highlight w:val="none"/>
              </w:rPr>
              <w:t>单价（元）</w:t>
            </w:r>
          </w:p>
        </w:tc>
      </w:tr>
      <w:tr w14:paraId="6E0B95E2">
        <w:tblPrEx>
          <w:tblCellMar>
            <w:top w:w="0" w:type="dxa"/>
            <w:left w:w="108" w:type="dxa"/>
            <w:bottom w:w="0" w:type="dxa"/>
            <w:right w:w="108" w:type="dxa"/>
          </w:tblCellMar>
        </w:tblPrEx>
        <w:trPr>
          <w:trHeight w:val="561" w:hRule="atLeast"/>
          <w:jc w:val="center"/>
        </w:trPr>
        <w:tc>
          <w:tcPr>
            <w:tcW w:w="625" w:type="dxa"/>
            <w:tcBorders>
              <w:top w:val="nil"/>
              <w:left w:val="single" w:color="auto" w:sz="4" w:space="0"/>
              <w:bottom w:val="single" w:color="auto" w:sz="4" w:space="0"/>
              <w:right w:val="single" w:color="auto" w:sz="4" w:space="0"/>
            </w:tcBorders>
            <w:noWrap w:val="0"/>
            <w:vAlign w:val="center"/>
          </w:tcPr>
          <w:p w14:paraId="2BE7C24D">
            <w:pPr>
              <w:widowControl/>
              <w:jc w:val="center"/>
              <w:rPr>
                <w:rFonts w:hAnsi="宋体" w:cs="宋体"/>
                <w:b/>
                <w:bCs/>
                <w:color w:val="auto"/>
                <w:sz w:val="18"/>
                <w:szCs w:val="18"/>
                <w:highlight w:val="none"/>
              </w:rPr>
            </w:pPr>
            <w:r>
              <w:rPr>
                <w:rFonts w:hint="eastAsia" w:hAnsi="宋体" w:cs="宋体"/>
                <w:b/>
                <w:bCs/>
                <w:color w:val="auto"/>
                <w:sz w:val="18"/>
                <w:szCs w:val="18"/>
                <w:highlight w:val="none"/>
              </w:rPr>
              <w:t>1</w:t>
            </w:r>
          </w:p>
        </w:tc>
        <w:tc>
          <w:tcPr>
            <w:tcW w:w="1462" w:type="dxa"/>
            <w:tcBorders>
              <w:top w:val="nil"/>
              <w:left w:val="nil"/>
              <w:bottom w:val="single" w:color="auto" w:sz="4" w:space="0"/>
              <w:right w:val="single" w:color="auto" w:sz="4" w:space="0"/>
            </w:tcBorders>
            <w:noWrap w:val="0"/>
            <w:vAlign w:val="center"/>
          </w:tcPr>
          <w:p w14:paraId="0D496A0D">
            <w:pPr>
              <w:widowControl/>
              <w:jc w:val="center"/>
              <w:rPr>
                <w:rFonts w:hAnsi="宋体" w:cs="宋体"/>
                <w:b/>
                <w:bCs/>
                <w:color w:val="auto"/>
                <w:sz w:val="18"/>
                <w:szCs w:val="18"/>
                <w:highlight w:val="none"/>
              </w:rPr>
            </w:pPr>
          </w:p>
        </w:tc>
        <w:tc>
          <w:tcPr>
            <w:tcW w:w="1753" w:type="dxa"/>
            <w:tcBorders>
              <w:top w:val="nil"/>
              <w:left w:val="nil"/>
              <w:bottom w:val="single" w:color="auto" w:sz="4" w:space="0"/>
              <w:right w:val="single" w:color="auto" w:sz="4" w:space="0"/>
            </w:tcBorders>
            <w:noWrap w:val="0"/>
            <w:vAlign w:val="center"/>
          </w:tcPr>
          <w:p w14:paraId="17143D89">
            <w:pPr>
              <w:widowControl/>
              <w:jc w:val="center"/>
              <w:rPr>
                <w:rFonts w:hAnsi="宋体" w:cs="宋体"/>
                <w:b/>
                <w:bCs/>
                <w:color w:val="auto"/>
                <w:sz w:val="18"/>
                <w:szCs w:val="18"/>
                <w:highlight w:val="none"/>
              </w:rPr>
            </w:pPr>
          </w:p>
        </w:tc>
        <w:tc>
          <w:tcPr>
            <w:tcW w:w="1035" w:type="dxa"/>
            <w:tcBorders>
              <w:top w:val="nil"/>
              <w:left w:val="nil"/>
              <w:bottom w:val="single" w:color="auto" w:sz="4" w:space="0"/>
              <w:right w:val="single" w:color="auto" w:sz="4" w:space="0"/>
            </w:tcBorders>
            <w:noWrap w:val="0"/>
            <w:vAlign w:val="center"/>
          </w:tcPr>
          <w:p w14:paraId="52B11AA4">
            <w:pPr>
              <w:widowControl/>
              <w:jc w:val="center"/>
              <w:rPr>
                <w:rFonts w:hAnsi="宋体" w:cs="宋体"/>
                <w:b/>
                <w:bCs/>
                <w:color w:val="auto"/>
                <w:sz w:val="18"/>
                <w:szCs w:val="18"/>
                <w:highlight w:val="none"/>
              </w:rPr>
            </w:pPr>
          </w:p>
        </w:tc>
        <w:tc>
          <w:tcPr>
            <w:tcW w:w="2040" w:type="dxa"/>
            <w:tcBorders>
              <w:top w:val="nil"/>
              <w:left w:val="nil"/>
              <w:bottom w:val="single" w:color="auto" w:sz="4" w:space="0"/>
              <w:right w:val="single" w:color="auto" w:sz="4" w:space="0"/>
            </w:tcBorders>
            <w:noWrap w:val="0"/>
            <w:vAlign w:val="center"/>
          </w:tcPr>
          <w:p w14:paraId="0AA70AB3">
            <w:pPr>
              <w:widowControl/>
              <w:jc w:val="center"/>
              <w:rPr>
                <w:rFonts w:hAnsi="宋体" w:cs="宋体"/>
                <w:b/>
                <w:bCs/>
                <w:color w:val="auto"/>
                <w:sz w:val="18"/>
                <w:szCs w:val="18"/>
                <w:highlight w:val="none"/>
              </w:rPr>
            </w:pPr>
          </w:p>
        </w:tc>
        <w:tc>
          <w:tcPr>
            <w:tcW w:w="660" w:type="dxa"/>
            <w:tcBorders>
              <w:top w:val="nil"/>
              <w:left w:val="nil"/>
              <w:bottom w:val="single" w:color="auto" w:sz="4" w:space="0"/>
              <w:right w:val="single" w:color="auto" w:sz="4" w:space="0"/>
            </w:tcBorders>
            <w:noWrap w:val="0"/>
            <w:vAlign w:val="center"/>
          </w:tcPr>
          <w:p w14:paraId="23D25279">
            <w:pPr>
              <w:widowControl/>
              <w:jc w:val="center"/>
              <w:rPr>
                <w:rFonts w:hAnsi="宋体" w:cs="宋体"/>
                <w:b/>
                <w:bCs/>
                <w:color w:val="auto"/>
                <w:sz w:val="18"/>
                <w:szCs w:val="18"/>
                <w:highlight w:val="none"/>
              </w:rPr>
            </w:pPr>
          </w:p>
        </w:tc>
        <w:tc>
          <w:tcPr>
            <w:tcW w:w="1260" w:type="dxa"/>
            <w:tcBorders>
              <w:top w:val="nil"/>
              <w:left w:val="nil"/>
              <w:bottom w:val="single" w:color="auto" w:sz="4" w:space="0"/>
              <w:right w:val="single" w:color="auto" w:sz="4" w:space="0"/>
            </w:tcBorders>
            <w:noWrap w:val="0"/>
            <w:vAlign w:val="center"/>
          </w:tcPr>
          <w:p w14:paraId="40D36956">
            <w:pPr>
              <w:widowControl/>
              <w:jc w:val="center"/>
              <w:rPr>
                <w:rFonts w:hAnsi="宋体" w:cs="宋体"/>
                <w:b/>
                <w:bCs/>
                <w:color w:val="auto"/>
                <w:sz w:val="18"/>
                <w:szCs w:val="18"/>
                <w:highlight w:val="none"/>
              </w:rPr>
            </w:pPr>
          </w:p>
        </w:tc>
      </w:tr>
      <w:tr w14:paraId="0AC73610">
        <w:tblPrEx>
          <w:tblCellMar>
            <w:top w:w="0" w:type="dxa"/>
            <w:left w:w="108" w:type="dxa"/>
            <w:bottom w:w="0" w:type="dxa"/>
            <w:right w:w="108" w:type="dxa"/>
          </w:tblCellMar>
        </w:tblPrEx>
        <w:trPr>
          <w:trHeight w:val="555" w:hRule="atLeast"/>
          <w:jc w:val="center"/>
        </w:trPr>
        <w:tc>
          <w:tcPr>
            <w:tcW w:w="625" w:type="dxa"/>
            <w:tcBorders>
              <w:top w:val="nil"/>
              <w:left w:val="single" w:color="auto" w:sz="4" w:space="0"/>
              <w:bottom w:val="single" w:color="auto" w:sz="4" w:space="0"/>
              <w:right w:val="single" w:color="auto" w:sz="4" w:space="0"/>
            </w:tcBorders>
            <w:noWrap w:val="0"/>
            <w:vAlign w:val="center"/>
          </w:tcPr>
          <w:p w14:paraId="2EA08A64">
            <w:pPr>
              <w:widowControl/>
              <w:jc w:val="center"/>
              <w:rPr>
                <w:rFonts w:hAnsi="宋体" w:cs="宋体"/>
                <w:b/>
                <w:bCs/>
                <w:color w:val="auto"/>
                <w:sz w:val="18"/>
                <w:szCs w:val="18"/>
                <w:highlight w:val="none"/>
              </w:rPr>
            </w:pPr>
            <w:r>
              <w:rPr>
                <w:rFonts w:hint="eastAsia" w:hAnsi="宋体" w:cs="宋体"/>
                <w:b/>
                <w:bCs/>
                <w:color w:val="auto"/>
                <w:sz w:val="18"/>
                <w:szCs w:val="18"/>
                <w:highlight w:val="none"/>
              </w:rPr>
              <w:t>2</w:t>
            </w:r>
          </w:p>
        </w:tc>
        <w:tc>
          <w:tcPr>
            <w:tcW w:w="1462" w:type="dxa"/>
            <w:tcBorders>
              <w:top w:val="nil"/>
              <w:left w:val="nil"/>
              <w:bottom w:val="single" w:color="auto" w:sz="4" w:space="0"/>
              <w:right w:val="single" w:color="auto" w:sz="4" w:space="0"/>
            </w:tcBorders>
            <w:noWrap w:val="0"/>
            <w:vAlign w:val="center"/>
          </w:tcPr>
          <w:p w14:paraId="5A40B4A5">
            <w:pPr>
              <w:widowControl/>
              <w:jc w:val="center"/>
              <w:rPr>
                <w:rFonts w:hAnsi="宋体" w:cs="宋体"/>
                <w:b/>
                <w:bCs/>
                <w:color w:val="auto"/>
                <w:sz w:val="18"/>
                <w:szCs w:val="18"/>
                <w:highlight w:val="none"/>
              </w:rPr>
            </w:pPr>
          </w:p>
        </w:tc>
        <w:tc>
          <w:tcPr>
            <w:tcW w:w="1753" w:type="dxa"/>
            <w:tcBorders>
              <w:top w:val="nil"/>
              <w:left w:val="nil"/>
              <w:bottom w:val="single" w:color="auto" w:sz="4" w:space="0"/>
              <w:right w:val="single" w:color="auto" w:sz="4" w:space="0"/>
            </w:tcBorders>
            <w:noWrap w:val="0"/>
            <w:vAlign w:val="center"/>
          </w:tcPr>
          <w:p w14:paraId="11E40BE9">
            <w:pPr>
              <w:widowControl/>
              <w:jc w:val="center"/>
              <w:rPr>
                <w:rFonts w:hAnsi="宋体" w:cs="宋体"/>
                <w:b/>
                <w:bCs/>
                <w:color w:val="auto"/>
                <w:sz w:val="18"/>
                <w:szCs w:val="18"/>
                <w:highlight w:val="none"/>
              </w:rPr>
            </w:pPr>
          </w:p>
        </w:tc>
        <w:tc>
          <w:tcPr>
            <w:tcW w:w="1035" w:type="dxa"/>
            <w:tcBorders>
              <w:top w:val="nil"/>
              <w:left w:val="nil"/>
              <w:bottom w:val="single" w:color="auto" w:sz="4" w:space="0"/>
              <w:right w:val="single" w:color="auto" w:sz="4" w:space="0"/>
            </w:tcBorders>
            <w:noWrap w:val="0"/>
            <w:vAlign w:val="center"/>
          </w:tcPr>
          <w:p w14:paraId="0BC2D7E4">
            <w:pPr>
              <w:widowControl/>
              <w:jc w:val="center"/>
              <w:rPr>
                <w:rFonts w:hAnsi="宋体" w:cs="宋体"/>
                <w:b/>
                <w:bCs/>
                <w:color w:val="auto"/>
                <w:sz w:val="18"/>
                <w:szCs w:val="18"/>
                <w:highlight w:val="none"/>
              </w:rPr>
            </w:pPr>
          </w:p>
        </w:tc>
        <w:tc>
          <w:tcPr>
            <w:tcW w:w="2040" w:type="dxa"/>
            <w:tcBorders>
              <w:top w:val="nil"/>
              <w:left w:val="nil"/>
              <w:bottom w:val="single" w:color="auto" w:sz="4" w:space="0"/>
              <w:right w:val="single" w:color="auto" w:sz="4" w:space="0"/>
            </w:tcBorders>
            <w:noWrap w:val="0"/>
            <w:vAlign w:val="center"/>
          </w:tcPr>
          <w:p w14:paraId="09E87A90">
            <w:pPr>
              <w:widowControl/>
              <w:jc w:val="center"/>
              <w:rPr>
                <w:rFonts w:hAnsi="宋体" w:cs="宋体"/>
                <w:b/>
                <w:bCs/>
                <w:color w:val="auto"/>
                <w:sz w:val="18"/>
                <w:szCs w:val="18"/>
                <w:highlight w:val="none"/>
              </w:rPr>
            </w:pPr>
          </w:p>
        </w:tc>
        <w:tc>
          <w:tcPr>
            <w:tcW w:w="660" w:type="dxa"/>
            <w:tcBorders>
              <w:top w:val="nil"/>
              <w:left w:val="nil"/>
              <w:bottom w:val="single" w:color="auto" w:sz="4" w:space="0"/>
              <w:right w:val="single" w:color="auto" w:sz="4" w:space="0"/>
            </w:tcBorders>
            <w:noWrap w:val="0"/>
            <w:vAlign w:val="center"/>
          </w:tcPr>
          <w:p w14:paraId="374935E9">
            <w:pPr>
              <w:widowControl/>
              <w:jc w:val="center"/>
              <w:rPr>
                <w:rFonts w:hAnsi="宋体" w:cs="宋体"/>
                <w:b/>
                <w:bCs/>
                <w:color w:val="auto"/>
                <w:sz w:val="18"/>
                <w:szCs w:val="18"/>
                <w:highlight w:val="none"/>
              </w:rPr>
            </w:pPr>
          </w:p>
        </w:tc>
        <w:tc>
          <w:tcPr>
            <w:tcW w:w="1260" w:type="dxa"/>
            <w:tcBorders>
              <w:top w:val="nil"/>
              <w:left w:val="nil"/>
              <w:bottom w:val="single" w:color="auto" w:sz="4" w:space="0"/>
              <w:right w:val="single" w:color="auto" w:sz="4" w:space="0"/>
            </w:tcBorders>
            <w:noWrap w:val="0"/>
            <w:vAlign w:val="center"/>
          </w:tcPr>
          <w:p w14:paraId="7B6728A8">
            <w:pPr>
              <w:widowControl/>
              <w:jc w:val="center"/>
              <w:rPr>
                <w:rFonts w:hAnsi="宋体" w:cs="宋体"/>
                <w:b/>
                <w:bCs/>
                <w:color w:val="auto"/>
                <w:sz w:val="18"/>
                <w:szCs w:val="18"/>
                <w:highlight w:val="none"/>
              </w:rPr>
            </w:pPr>
          </w:p>
        </w:tc>
      </w:tr>
      <w:tr w14:paraId="1D2D308A">
        <w:tblPrEx>
          <w:tblCellMar>
            <w:top w:w="0" w:type="dxa"/>
            <w:left w:w="108" w:type="dxa"/>
            <w:bottom w:w="0" w:type="dxa"/>
            <w:right w:w="108" w:type="dxa"/>
          </w:tblCellMar>
        </w:tblPrEx>
        <w:trPr>
          <w:trHeight w:val="537" w:hRule="atLeast"/>
          <w:jc w:val="center"/>
        </w:trPr>
        <w:tc>
          <w:tcPr>
            <w:tcW w:w="625" w:type="dxa"/>
            <w:tcBorders>
              <w:top w:val="nil"/>
              <w:left w:val="single" w:color="auto" w:sz="4" w:space="0"/>
              <w:bottom w:val="single" w:color="auto" w:sz="4" w:space="0"/>
              <w:right w:val="single" w:color="auto" w:sz="4" w:space="0"/>
            </w:tcBorders>
            <w:noWrap w:val="0"/>
            <w:vAlign w:val="center"/>
          </w:tcPr>
          <w:p w14:paraId="513217F3">
            <w:pPr>
              <w:widowControl/>
              <w:jc w:val="center"/>
              <w:rPr>
                <w:rFonts w:hAnsi="宋体" w:cs="宋体"/>
                <w:b/>
                <w:bCs/>
                <w:color w:val="auto"/>
                <w:sz w:val="18"/>
                <w:szCs w:val="18"/>
                <w:highlight w:val="none"/>
              </w:rPr>
            </w:pPr>
            <w:r>
              <w:rPr>
                <w:rFonts w:hint="eastAsia" w:hAnsi="宋体" w:cs="宋体"/>
                <w:b/>
                <w:bCs/>
                <w:color w:val="auto"/>
                <w:sz w:val="18"/>
                <w:szCs w:val="18"/>
                <w:highlight w:val="none"/>
              </w:rPr>
              <w:t>3</w:t>
            </w:r>
          </w:p>
        </w:tc>
        <w:tc>
          <w:tcPr>
            <w:tcW w:w="1462" w:type="dxa"/>
            <w:tcBorders>
              <w:top w:val="nil"/>
              <w:left w:val="nil"/>
              <w:bottom w:val="single" w:color="auto" w:sz="4" w:space="0"/>
              <w:right w:val="single" w:color="auto" w:sz="4" w:space="0"/>
            </w:tcBorders>
            <w:noWrap w:val="0"/>
            <w:vAlign w:val="center"/>
          </w:tcPr>
          <w:p w14:paraId="455E8276">
            <w:pPr>
              <w:widowControl/>
              <w:jc w:val="center"/>
              <w:rPr>
                <w:rFonts w:hAnsi="宋体" w:cs="宋体"/>
                <w:b/>
                <w:bCs/>
                <w:color w:val="auto"/>
                <w:sz w:val="18"/>
                <w:szCs w:val="18"/>
                <w:highlight w:val="none"/>
              </w:rPr>
            </w:pPr>
          </w:p>
        </w:tc>
        <w:tc>
          <w:tcPr>
            <w:tcW w:w="1753" w:type="dxa"/>
            <w:tcBorders>
              <w:top w:val="nil"/>
              <w:left w:val="nil"/>
              <w:bottom w:val="single" w:color="auto" w:sz="4" w:space="0"/>
              <w:right w:val="single" w:color="auto" w:sz="4" w:space="0"/>
            </w:tcBorders>
            <w:noWrap w:val="0"/>
            <w:vAlign w:val="center"/>
          </w:tcPr>
          <w:p w14:paraId="5650DA2D">
            <w:pPr>
              <w:widowControl/>
              <w:jc w:val="center"/>
              <w:rPr>
                <w:rFonts w:hAnsi="宋体" w:cs="宋体"/>
                <w:b/>
                <w:bCs/>
                <w:color w:val="auto"/>
                <w:sz w:val="18"/>
                <w:szCs w:val="18"/>
                <w:highlight w:val="none"/>
              </w:rPr>
            </w:pPr>
          </w:p>
        </w:tc>
        <w:tc>
          <w:tcPr>
            <w:tcW w:w="1035" w:type="dxa"/>
            <w:tcBorders>
              <w:top w:val="nil"/>
              <w:left w:val="nil"/>
              <w:bottom w:val="single" w:color="auto" w:sz="4" w:space="0"/>
              <w:right w:val="single" w:color="auto" w:sz="4" w:space="0"/>
            </w:tcBorders>
            <w:noWrap w:val="0"/>
            <w:vAlign w:val="center"/>
          </w:tcPr>
          <w:p w14:paraId="33B9B552">
            <w:pPr>
              <w:widowControl/>
              <w:jc w:val="center"/>
              <w:rPr>
                <w:rFonts w:hAnsi="宋体" w:cs="宋体"/>
                <w:b/>
                <w:bCs/>
                <w:color w:val="auto"/>
                <w:sz w:val="18"/>
                <w:szCs w:val="18"/>
                <w:highlight w:val="none"/>
              </w:rPr>
            </w:pPr>
          </w:p>
        </w:tc>
        <w:tc>
          <w:tcPr>
            <w:tcW w:w="2040" w:type="dxa"/>
            <w:tcBorders>
              <w:top w:val="nil"/>
              <w:left w:val="nil"/>
              <w:bottom w:val="single" w:color="auto" w:sz="4" w:space="0"/>
              <w:right w:val="single" w:color="auto" w:sz="4" w:space="0"/>
            </w:tcBorders>
            <w:noWrap w:val="0"/>
            <w:vAlign w:val="center"/>
          </w:tcPr>
          <w:p w14:paraId="0C5B382A">
            <w:pPr>
              <w:widowControl/>
              <w:jc w:val="center"/>
              <w:rPr>
                <w:rFonts w:hAnsi="宋体" w:cs="宋体"/>
                <w:b/>
                <w:bCs/>
                <w:color w:val="auto"/>
                <w:sz w:val="18"/>
                <w:szCs w:val="18"/>
                <w:highlight w:val="none"/>
              </w:rPr>
            </w:pPr>
          </w:p>
        </w:tc>
        <w:tc>
          <w:tcPr>
            <w:tcW w:w="660" w:type="dxa"/>
            <w:tcBorders>
              <w:top w:val="nil"/>
              <w:left w:val="nil"/>
              <w:bottom w:val="single" w:color="auto" w:sz="4" w:space="0"/>
              <w:right w:val="single" w:color="auto" w:sz="4" w:space="0"/>
            </w:tcBorders>
            <w:noWrap w:val="0"/>
            <w:vAlign w:val="center"/>
          </w:tcPr>
          <w:p w14:paraId="366C448F">
            <w:pPr>
              <w:widowControl/>
              <w:jc w:val="center"/>
              <w:rPr>
                <w:rFonts w:hAnsi="宋体" w:cs="宋体"/>
                <w:b/>
                <w:bCs/>
                <w:color w:val="auto"/>
                <w:sz w:val="18"/>
                <w:szCs w:val="18"/>
                <w:highlight w:val="none"/>
              </w:rPr>
            </w:pPr>
          </w:p>
        </w:tc>
        <w:tc>
          <w:tcPr>
            <w:tcW w:w="1260" w:type="dxa"/>
            <w:tcBorders>
              <w:top w:val="nil"/>
              <w:left w:val="nil"/>
              <w:bottom w:val="single" w:color="auto" w:sz="4" w:space="0"/>
              <w:right w:val="single" w:color="auto" w:sz="4" w:space="0"/>
            </w:tcBorders>
            <w:noWrap w:val="0"/>
            <w:vAlign w:val="center"/>
          </w:tcPr>
          <w:p w14:paraId="0742B439">
            <w:pPr>
              <w:widowControl/>
              <w:jc w:val="center"/>
              <w:rPr>
                <w:rFonts w:hAnsi="宋体" w:cs="宋体"/>
                <w:b/>
                <w:bCs/>
                <w:color w:val="auto"/>
                <w:sz w:val="18"/>
                <w:szCs w:val="18"/>
                <w:highlight w:val="none"/>
              </w:rPr>
            </w:pPr>
          </w:p>
        </w:tc>
      </w:tr>
      <w:tr w14:paraId="6FBFF971">
        <w:tblPrEx>
          <w:tblCellMar>
            <w:top w:w="0" w:type="dxa"/>
            <w:left w:w="108" w:type="dxa"/>
            <w:bottom w:w="0" w:type="dxa"/>
            <w:right w:w="108" w:type="dxa"/>
          </w:tblCellMar>
        </w:tblPrEx>
        <w:trPr>
          <w:trHeight w:val="537" w:hRule="atLeast"/>
          <w:jc w:val="center"/>
        </w:trPr>
        <w:tc>
          <w:tcPr>
            <w:tcW w:w="625" w:type="dxa"/>
            <w:tcBorders>
              <w:top w:val="nil"/>
              <w:left w:val="single" w:color="auto" w:sz="4" w:space="0"/>
              <w:bottom w:val="single" w:color="auto" w:sz="4" w:space="0"/>
              <w:right w:val="single" w:color="auto" w:sz="4" w:space="0"/>
            </w:tcBorders>
            <w:noWrap w:val="0"/>
            <w:vAlign w:val="center"/>
          </w:tcPr>
          <w:p w14:paraId="47BB1365">
            <w:pPr>
              <w:widowControl/>
              <w:jc w:val="center"/>
              <w:rPr>
                <w:rFonts w:hAnsi="宋体" w:cs="宋体"/>
                <w:b/>
                <w:bCs/>
                <w:color w:val="auto"/>
                <w:sz w:val="18"/>
                <w:szCs w:val="18"/>
                <w:highlight w:val="none"/>
              </w:rPr>
            </w:pPr>
            <w:r>
              <w:rPr>
                <w:rFonts w:hint="eastAsia" w:hAnsi="宋体" w:cs="宋体"/>
                <w:b/>
                <w:bCs/>
                <w:color w:val="auto"/>
                <w:sz w:val="18"/>
                <w:szCs w:val="18"/>
                <w:highlight w:val="none"/>
              </w:rPr>
              <w:t>4</w:t>
            </w:r>
          </w:p>
        </w:tc>
        <w:tc>
          <w:tcPr>
            <w:tcW w:w="1462" w:type="dxa"/>
            <w:tcBorders>
              <w:top w:val="nil"/>
              <w:left w:val="nil"/>
              <w:bottom w:val="single" w:color="auto" w:sz="4" w:space="0"/>
              <w:right w:val="single" w:color="auto" w:sz="4" w:space="0"/>
            </w:tcBorders>
            <w:noWrap w:val="0"/>
            <w:vAlign w:val="center"/>
          </w:tcPr>
          <w:p w14:paraId="07999D9C">
            <w:pPr>
              <w:widowControl/>
              <w:jc w:val="center"/>
              <w:rPr>
                <w:rFonts w:hAnsi="宋体" w:cs="宋体"/>
                <w:b/>
                <w:bCs/>
                <w:color w:val="auto"/>
                <w:sz w:val="18"/>
                <w:szCs w:val="18"/>
                <w:highlight w:val="none"/>
              </w:rPr>
            </w:pPr>
          </w:p>
        </w:tc>
        <w:tc>
          <w:tcPr>
            <w:tcW w:w="1753" w:type="dxa"/>
            <w:tcBorders>
              <w:top w:val="nil"/>
              <w:left w:val="nil"/>
              <w:bottom w:val="single" w:color="auto" w:sz="4" w:space="0"/>
              <w:right w:val="single" w:color="auto" w:sz="4" w:space="0"/>
            </w:tcBorders>
            <w:noWrap w:val="0"/>
            <w:vAlign w:val="center"/>
          </w:tcPr>
          <w:p w14:paraId="5106BB4B">
            <w:pPr>
              <w:widowControl/>
              <w:jc w:val="center"/>
              <w:rPr>
                <w:rFonts w:hAnsi="宋体" w:cs="宋体"/>
                <w:b/>
                <w:bCs/>
                <w:color w:val="auto"/>
                <w:sz w:val="18"/>
                <w:szCs w:val="18"/>
                <w:highlight w:val="none"/>
              </w:rPr>
            </w:pPr>
          </w:p>
        </w:tc>
        <w:tc>
          <w:tcPr>
            <w:tcW w:w="1035" w:type="dxa"/>
            <w:tcBorders>
              <w:top w:val="nil"/>
              <w:left w:val="nil"/>
              <w:bottom w:val="single" w:color="auto" w:sz="4" w:space="0"/>
              <w:right w:val="single" w:color="auto" w:sz="4" w:space="0"/>
            </w:tcBorders>
            <w:noWrap w:val="0"/>
            <w:vAlign w:val="center"/>
          </w:tcPr>
          <w:p w14:paraId="794F3CE1">
            <w:pPr>
              <w:widowControl/>
              <w:jc w:val="center"/>
              <w:rPr>
                <w:rFonts w:hAnsi="宋体" w:cs="宋体"/>
                <w:b/>
                <w:bCs/>
                <w:color w:val="auto"/>
                <w:sz w:val="18"/>
                <w:szCs w:val="18"/>
                <w:highlight w:val="none"/>
              </w:rPr>
            </w:pPr>
          </w:p>
        </w:tc>
        <w:tc>
          <w:tcPr>
            <w:tcW w:w="2040" w:type="dxa"/>
            <w:tcBorders>
              <w:top w:val="nil"/>
              <w:left w:val="nil"/>
              <w:bottom w:val="single" w:color="auto" w:sz="4" w:space="0"/>
              <w:right w:val="single" w:color="auto" w:sz="4" w:space="0"/>
            </w:tcBorders>
            <w:noWrap w:val="0"/>
            <w:vAlign w:val="center"/>
          </w:tcPr>
          <w:p w14:paraId="1800EF9A">
            <w:pPr>
              <w:widowControl/>
              <w:jc w:val="center"/>
              <w:rPr>
                <w:rFonts w:hAnsi="宋体" w:cs="宋体"/>
                <w:b/>
                <w:bCs/>
                <w:color w:val="auto"/>
                <w:sz w:val="18"/>
                <w:szCs w:val="18"/>
                <w:highlight w:val="none"/>
              </w:rPr>
            </w:pPr>
          </w:p>
        </w:tc>
        <w:tc>
          <w:tcPr>
            <w:tcW w:w="660" w:type="dxa"/>
            <w:tcBorders>
              <w:top w:val="nil"/>
              <w:left w:val="nil"/>
              <w:bottom w:val="single" w:color="auto" w:sz="4" w:space="0"/>
              <w:right w:val="single" w:color="auto" w:sz="4" w:space="0"/>
            </w:tcBorders>
            <w:noWrap w:val="0"/>
            <w:vAlign w:val="center"/>
          </w:tcPr>
          <w:p w14:paraId="20EB9D1C">
            <w:pPr>
              <w:widowControl/>
              <w:jc w:val="center"/>
              <w:rPr>
                <w:rFonts w:hAnsi="宋体" w:cs="宋体"/>
                <w:b/>
                <w:bCs/>
                <w:color w:val="auto"/>
                <w:sz w:val="18"/>
                <w:szCs w:val="18"/>
                <w:highlight w:val="none"/>
              </w:rPr>
            </w:pPr>
          </w:p>
        </w:tc>
        <w:tc>
          <w:tcPr>
            <w:tcW w:w="1260" w:type="dxa"/>
            <w:tcBorders>
              <w:top w:val="nil"/>
              <w:left w:val="single" w:color="auto" w:sz="4" w:space="0"/>
              <w:bottom w:val="single" w:color="auto" w:sz="4" w:space="0"/>
              <w:right w:val="single" w:color="auto" w:sz="4" w:space="0"/>
            </w:tcBorders>
            <w:noWrap w:val="0"/>
            <w:vAlign w:val="center"/>
          </w:tcPr>
          <w:p w14:paraId="475EB32A">
            <w:pPr>
              <w:widowControl/>
              <w:jc w:val="center"/>
              <w:rPr>
                <w:rFonts w:hAnsi="宋体" w:cs="宋体"/>
                <w:b/>
                <w:bCs/>
                <w:color w:val="auto"/>
                <w:sz w:val="18"/>
                <w:szCs w:val="18"/>
                <w:highlight w:val="none"/>
              </w:rPr>
            </w:pPr>
          </w:p>
        </w:tc>
      </w:tr>
      <w:tr w14:paraId="01AB183D">
        <w:tblPrEx>
          <w:tblCellMar>
            <w:top w:w="0" w:type="dxa"/>
            <w:left w:w="108" w:type="dxa"/>
            <w:bottom w:w="0" w:type="dxa"/>
            <w:right w:w="108" w:type="dxa"/>
          </w:tblCellMar>
        </w:tblPrEx>
        <w:trPr>
          <w:trHeight w:val="500" w:hRule="atLeast"/>
          <w:jc w:val="center"/>
        </w:trPr>
        <w:tc>
          <w:tcPr>
            <w:tcW w:w="625" w:type="dxa"/>
            <w:tcBorders>
              <w:top w:val="nil"/>
              <w:left w:val="single" w:color="auto" w:sz="4" w:space="0"/>
              <w:bottom w:val="single" w:color="auto" w:sz="4" w:space="0"/>
              <w:right w:val="single" w:color="auto" w:sz="4" w:space="0"/>
            </w:tcBorders>
            <w:noWrap w:val="0"/>
            <w:vAlign w:val="center"/>
          </w:tcPr>
          <w:p w14:paraId="395C95BB">
            <w:pPr>
              <w:widowControl/>
              <w:jc w:val="center"/>
              <w:rPr>
                <w:rFonts w:hAnsi="宋体" w:cs="宋体"/>
                <w:b/>
                <w:bCs/>
                <w:color w:val="auto"/>
                <w:sz w:val="18"/>
                <w:szCs w:val="18"/>
                <w:highlight w:val="none"/>
              </w:rPr>
            </w:pPr>
            <w:r>
              <w:rPr>
                <w:rFonts w:hint="eastAsia" w:hAnsi="宋体" w:cs="宋体"/>
                <w:b/>
                <w:bCs/>
                <w:color w:val="auto"/>
                <w:sz w:val="18"/>
                <w:szCs w:val="18"/>
                <w:highlight w:val="none"/>
              </w:rPr>
              <w:t>5</w:t>
            </w:r>
          </w:p>
        </w:tc>
        <w:tc>
          <w:tcPr>
            <w:tcW w:w="1462" w:type="dxa"/>
            <w:tcBorders>
              <w:top w:val="nil"/>
              <w:left w:val="nil"/>
              <w:bottom w:val="single" w:color="auto" w:sz="4" w:space="0"/>
              <w:right w:val="single" w:color="auto" w:sz="4" w:space="0"/>
            </w:tcBorders>
            <w:noWrap w:val="0"/>
            <w:vAlign w:val="center"/>
          </w:tcPr>
          <w:p w14:paraId="761D2B2E">
            <w:pPr>
              <w:widowControl/>
              <w:jc w:val="center"/>
              <w:rPr>
                <w:rFonts w:hAnsi="宋体" w:cs="宋体"/>
                <w:b/>
                <w:bCs/>
                <w:color w:val="auto"/>
                <w:sz w:val="18"/>
                <w:szCs w:val="18"/>
                <w:highlight w:val="none"/>
              </w:rPr>
            </w:pPr>
          </w:p>
        </w:tc>
        <w:tc>
          <w:tcPr>
            <w:tcW w:w="1753" w:type="dxa"/>
            <w:tcBorders>
              <w:top w:val="nil"/>
              <w:left w:val="nil"/>
              <w:bottom w:val="single" w:color="auto" w:sz="4" w:space="0"/>
              <w:right w:val="single" w:color="auto" w:sz="4" w:space="0"/>
            </w:tcBorders>
            <w:noWrap w:val="0"/>
            <w:vAlign w:val="center"/>
          </w:tcPr>
          <w:p w14:paraId="78E747A9">
            <w:pPr>
              <w:widowControl/>
              <w:jc w:val="center"/>
              <w:rPr>
                <w:rFonts w:hAnsi="宋体" w:cs="宋体"/>
                <w:b/>
                <w:bCs/>
                <w:color w:val="auto"/>
                <w:sz w:val="18"/>
                <w:szCs w:val="18"/>
                <w:highlight w:val="none"/>
              </w:rPr>
            </w:pPr>
          </w:p>
        </w:tc>
        <w:tc>
          <w:tcPr>
            <w:tcW w:w="1035" w:type="dxa"/>
            <w:tcBorders>
              <w:top w:val="nil"/>
              <w:left w:val="nil"/>
              <w:bottom w:val="single" w:color="auto" w:sz="4" w:space="0"/>
              <w:right w:val="single" w:color="auto" w:sz="4" w:space="0"/>
            </w:tcBorders>
            <w:noWrap w:val="0"/>
            <w:vAlign w:val="center"/>
          </w:tcPr>
          <w:p w14:paraId="2367A968">
            <w:pPr>
              <w:widowControl/>
              <w:jc w:val="center"/>
              <w:rPr>
                <w:rFonts w:hAnsi="宋体" w:cs="宋体"/>
                <w:b/>
                <w:bCs/>
                <w:color w:val="auto"/>
                <w:sz w:val="18"/>
                <w:szCs w:val="18"/>
                <w:highlight w:val="none"/>
              </w:rPr>
            </w:pPr>
          </w:p>
        </w:tc>
        <w:tc>
          <w:tcPr>
            <w:tcW w:w="2040" w:type="dxa"/>
            <w:tcBorders>
              <w:top w:val="nil"/>
              <w:left w:val="nil"/>
              <w:bottom w:val="single" w:color="auto" w:sz="4" w:space="0"/>
              <w:right w:val="single" w:color="auto" w:sz="4" w:space="0"/>
            </w:tcBorders>
            <w:noWrap w:val="0"/>
            <w:vAlign w:val="center"/>
          </w:tcPr>
          <w:p w14:paraId="564300A9">
            <w:pPr>
              <w:widowControl/>
              <w:jc w:val="center"/>
              <w:rPr>
                <w:rFonts w:hAnsi="宋体" w:cs="宋体"/>
                <w:b/>
                <w:bCs/>
                <w:color w:val="auto"/>
                <w:sz w:val="18"/>
                <w:szCs w:val="18"/>
                <w:highlight w:val="none"/>
              </w:rPr>
            </w:pPr>
          </w:p>
        </w:tc>
        <w:tc>
          <w:tcPr>
            <w:tcW w:w="660" w:type="dxa"/>
            <w:tcBorders>
              <w:top w:val="nil"/>
              <w:left w:val="nil"/>
              <w:bottom w:val="single" w:color="auto" w:sz="4" w:space="0"/>
              <w:right w:val="single" w:color="auto" w:sz="4" w:space="0"/>
            </w:tcBorders>
            <w:noWrap w:val="0"/>
            <w:vAlign w:val="center"/>
          </w:tcPr>
          <w:p w14:paraId="4178C9D9">
            <w:pPr>
              <w:widowControl/>
              <w:jc w:val="center"/>
              <w:rPr>
                <w:rFonts w:hAnsi="宋体" w:cs="宋体"/>
                <w:b/>
                <w:bCs/>
                <w:color w:val="auto"/>
                <w:sz w:val="18"/>
                <w:szCs w:val="18"/>
                <w:highlight w:val="none"/>
              </w:rPr>
            </w:pPr>
          </w:p>
        </w:tc>
        <w:tc>
          <w:tcPr>
            <w:tcW w:w="1260" w:type="dxa"/>
            <w:tcBorders>
              <w:top w:val="nil"/>
              <w:left w:val="nil"/>
              <w:bottom w:val="single" w:color="auto" w:sz="4" w:space="0"/>
              <w:right w:val="single" w:color="auto" w:sz="4" w:space="0"/>
            </w:tcBorders>
            <w:noWrap w:val="0"/>
            <w:vAlign w:val="center"/>
          </w:tcPr>
          <w:p w14:paraId="1726AABC">
            <w:pPr>
              <w:widowControl/>
              <w:jc w:val="center"/>
              <w:rPr>
                <w:rFonts w:hAnsi="宋体" w:cs="宋体"/>
                <w:b/>
                <w:bCs/>
                <w:color w:val="auto"/>
                <w:sz w:val="18"/>
                <w:szCs w:val="18"/>
                <w:highlight w:val="none"/>
              </w:rPr>
            </w:pPr>
          </w:p>
        </w:tc>
      </w:tr>
    </w:tbl>
    <w:p w14:paraId="109E902C">
      <w:pPr>
        <w:spacing w:line="360" w:lineRule="auto"/>
        <w:rPr>
          <w:rFonts w:hAnsi="宋体" w:cs="宋体"/>
          <w:color w:val="auto"/>
          <w:sz w:val="24"/>
          <w:szCs w:val="24"/>
          <w:highlight w:val="none"/>
        </w:rPr>
      </w:pPr>
    </w:p>
    <w:p w14:paraId="71C7DAE1">
      <w:pPr>
        <w:spacing w:line="360" w:lineRule="auto"/>
        <w:rPr>
          <w:rFonts w:hAnsi="宋体" w:cs="宋体"/>
          <w:color w:val="auto"/>
          <w:sz w:val="24"/>
          <w:szCs w:val="24"/>
          <w:highlight w:val="none"/>
        </w:rPr>
      </w:pPr>
    </w:p>
    <w:p w14:paraId="7F4F317D">
      <w:pPr>
        <w:spacing w:line="360" w:lineRule="auto"/>
        <w:rPr>
          <w:rFonts w:hAnsi="宋体" w:cs="宋体"/>
          <w:color w:val="auto"/>
          <w:sz w:val="24"/>
          <w:szCs w:val="24"/>
          <w:highlight w:val="none"/>
        </w:rPr>
      </w:pPr>
    </w:p>
    <w:p w14:paraId="61380A0B">
      <w:pPr>
        <w:spacing w:line="360" w:lineRule="auto"/>
        <w:rPr>
          <w:rFonts w:hAnsi="宋体" w:cs="宋体"/>
          <w:color w:val="auto"/>
          <w:sz w:val="24"/>
          <w:szCs w:val="24"/>
          <w:highlight w:val="none"/>
        </w:rPr>
      </w:pPr>
    </w:p>
    <w:p w14:paraId="094E0A76">
      <w:pPr>
        <w:spacing w:line="360" w:lineRule="auto"/>
        <w:rPr>
          <w:rFonts w:hAnsi="宋体" w:cs="宋体"/>
          <w:color w:val="auto"/>
          <w:sz w:val="24"/>
          <w:szCs w:val="24"/>
          <w:highlight w:val="none"/>
        </w:rPr>
      </w:pPr>
      <w:r>
        <w:rPr>
          <w:rFonts w:hint="eastAsia" w:hAnsi="宋体" w:cs="宋体"/>
          <w:b/>
          <w:bCs/>
          <w:color w:val="auto"/>
          <w:sz w:val="24"/>
          <w:szCs w:val="24"/>
          <w:highlight w:val="none"/>
        </w:rPr>
        <w:t>三、</w:t>
      </w:r>
      <w:r>
        <w:rPr>
          <w:rFonts w:hint="eastAsia" w:hAnsi="宋体" w:cs="宋体"/>
          <w:b/>
          <w:color w:val="auto"/>
          <w:sz w:val="24"/>
          <w:szCs w:val="24"/>
          <w:highlight w:val="none"/>
        </w:rPr>
        <w:t>日常使用消耗品（耗材/试剂）价格清单表（此表仅作为价格参考，实际价格以院内谈价为准）：</w:t>
      </w:r>
    </w:p>
    <w:tbl>
      <w:tblPr>
        <w:tblStyle w:val="7"/>
        <w:tblW w:w="9510" w:type="dxa"/>
        <w:jc w:val="center"/>
        <w:tblLayout w:type="fixed"/>
        <w:tblCellMar>
          <w:top w:w="0" w:type="dxa"/>
          <w:left w:w="108" w:type="dxa"/>
          <w:bottom w:w="0" w:type="dxa"/>
          <w:right w:w="108" w:type="dxa"/>
        </w:tblCellMar>
      </w:tblPr>
      <w:tblGrid>
        <w:gridCol w:w="592"/>
        <w:gridCol w:w="1015"/>
        <w:gridCol w:w="1445"/>
        <w:gridCol w:w="715"/>
        <w:gridCol w:w="1635"/>
        <w:gridCol w:w="1125"/>
        <w:gridCol w:w="1318"/>
        <w:gridCol w:w="645"/>
        <w:gridCol w:w="1020"/>
      </w:tblGrid>
      <w:tr w14:paraId="4770174F">
        <w:tblPrEx>
          <w:tblCellMar>
            <w:top w:w="0" w:type="dxa"/>
            <w:left w:w="108" w:type="dxa"/>
            <w:bottom w:w="0" w:type="dxa"/>
            <w:right w:w="108" w:type="dxa"/>
          </w:tblCellMar>
        </w:tblPrEx>
        <w:trPr>
          <w:trHeight w:val="607" w:hRule="atLeast"/>
          <w:jc w:val="center"/>
        </w:trPr>
        <w:tc>
          <w:tcPr>
            <w:tcW w:w="592" w:type="dxa"/>
            <w:tcBorders>
              <w:top w:val="single" w:color="auto" w:sz="4" w:space="0"/>
              <w:left w:val="single" w:color="auto" w:sz="4" w:space="0"/>
              <w:bottom w:val="single" w:color="auto" w:sz="4" w:space="0"/>
              <w:right w:val="single" w:color="auto" w:sz="4" w:space="0"/>
            </w:tcBorders>
            <w:noWrap w:val="0"/>
            <w:vAlign w:val="center"/>
          </w:tcPr>
          <w:p w14:paraId="5BC8652C">
            <w:pPr>
              <w:widowControl/>
              <w:jc w:val="center"/>
              <w:rPr>
                <w:rFonts w:hAnsi="宋体" w:cs="宋体"/>
                <w:b/>
                <w:bCs/>
                <w:color w:val="auto"/>
                <w:sz w:val="18"/>
                <w:szCs w:val="18"/>
                <w:highlight w:val="none"/>
              </w:rPr>
            </w:pPr>
            <w:r>
              <w:rPr>
                <w:rFonts w:hint="eastAsia" w:hAnsi="宋体" w:cs="宋体"/>
                <w:b/>
                <w:bCs/>
                <w:color w:val="auto"/>
                <w:sz w:val="18"/>
                <w:szCs w:val="18"/>
                <w:highlight w:val="none"/>
              </w:rPr>
              <w:t>序号</w:t>
            </w:r>
          </w:p>
        </w:tc>
        <w:tc>
          <w:tcPr>
            <w:tcW w:w="1015" w:type="dxa"/>
            <w:tcBorders>
              <w:top w:val="single" w:color="auto" w:sz="4" w:space="0"/>
              <w:left w:val="nil"/>
              <w:bottom w:val="single" w:color="auto" w:sz="4" w:space="0"/>
              <w:right w:val="single" w:color="auto" w:sz="4" w:space="0"/>
            </w:tcBorders>
            <w:noWrap w:val="0"/>
            <w:vAlign w:val="center"/>
          </w:tcPr>
          <w:p w14:paraId="4D046140">
            <w:pPr>
              <w:widowControl/>
              <w:jc w:val="center"/>
              <w:rPr>
                <w:rFonts w:hAnsi="宋体" w:cs="宋体"/>
                <w:b/>
                <w:bCs/>
                <w:color w:val="auto"/>
                <w:sz w:val="18"/>
                <w:szCs w:val="18"/>
                <w:highlight w:val="none"/>
              </w:rPr>
            </w:pPr>
            <w:r>
              <w:rPr>
                <w:rFonts w:hint="eastAsia" w:hAnsi="宋体" w:cs="宋体"/>
                <w:b/>
                <w:bCs/>
                <w:color w:val="auto"/>
                <w:sz w:val="18"/>
                <w:szCs w:val="18"/>
                <w:highlight w:val="none"/>
              </w:rPr>
              <w:t>名称</w:t>
            </w:r>
          </w:p>
        </w:tc>
        <w:tc>
          <w:tcPr>
            <w:tcW w:w="1445" w:type="dxa"/>
            <w:tcBorders>
              <w:top w:val="single" w:color="auto" w:sz="4" w:space="0"/>
              <w:left w:val="nil"/>
              <w:bottom w:val="single" w:color="auto" w:sz="4" w:space="0"/>
              <w:right w:val="single" w:color="auto" w:sz="4" w:space="0"/>
            </w:tcBorders>
            <w:noWrap w:val="0"/>
            <w:vAlign w:val="center"/>
          </w:tcPr>
          <w:p w14:paraId="35642E2C">
            <w:pPr>
              <w:widowControl/>
              <w:jc w:val="center"/>
              <w:rPr>
                <w:rFonts w:hAnsi="宋体" w:cs="宋体"/>
                <w:b/>
                <w:bCs/>
                <w:color w:val="auto"/>
                <w:sz w:val="18"/>
                <w:szCs w:val="18"/>
                <w:highlight w:val="none"/>
              </w:rPr>
            </w:pPr>
            <w:r>
              <w:rPr>
                <w:rFonts w:hint="eastAsia" w:hAnsi="宋体" w:cs="宋体"/>
                <w:b/>
                <w:bCs/>
                <w:color w:val="auto"/>
                <w:sz w:val="18"/>
                <w:szCs w:val="18"/>
                <w:highlight w:val="none"/>
              </w:rPr>
              <w:t>生产厂家</w:t>
            </w:r>
          </w:p>
        </w:tc>
        <w:tc>
          <w:tcPr>
            <w:tcW w:w="715" w:type="dxa"/>
            <w:tcBorders>
              <w:top w:val="single" w:color="auto" w:sz="4" w:space="0"/>
              <w:left w:val="nil"/>
              <w:bottom w:val="single" w:color="auto" w:sz="4" w:space="0"/>
              <w:right w:val="single" w:color="auto" w:sz="4" w:space="0"/>
            </w:tcBorders>
            <w:noWrap w:val="0"/>
            <w:vAlign w:val="center"/>
          </w:tcPr>
          <w:p w14:paraId="1FB87E6E">
            <w:pPr>
              <w:widowControl/>
              <w:jc w:val="center"/>
              <w:rPr>
                <w:rFonts w:hAnsi="宋体" w:cs="宋体"/>
                <w:b/>
                <w:bCs/>
                <w:color w:val="auto"/>
                <w:sz w:val="18"/>
                <w:szCs w:val="18"/>
                <w:highlight w:val="none"/>
              </w:rPr>
            </w:pPr>
            <w:r>
              <w:rPr>
                <w:rFonts w:hint="eastAsia" w:hAnsi="宋体" w:cs="宋体"/>
                <w:b/>
                <w:bCs/>
                <w:color w:val="auto"/>
                <w:sz w:val="18"/>
                <w:szCs w:val="18"/>
                <w:highlight w:val="none"/>
              </w:rPr>
              <w:t>产地</w:t>
            </w:r>
          </w:p>
        </w:tc>
        <w:tc>
          <w:tcPr>
            <w:tcW w:w="1635" w:type="dxa"/>
            <w:tcBorders>
              <w:top w:val="single" w:color="auto" w:sz="4" w:space="0"/>
              <w:left w:val="nil"/>
              <w:bottom w:val="single" w:color="auto" w:sz="4" w:space="0"/>
              <w:right w:val="single" w:color="auto" w:sz="4" w:space="0"/>
            </w:tcBorders>
            <w:noWrap w:val="0"/>
            <w:vAlign w:val="center"/>
          </w:tcPr>
          <w:p w14:paraId="2843DCD0">
            <w:pPr>
              <w:widowControl/>
              <w:jc w:val="center"/>
              <w:rPr>
                <w:rFonts w:hAnsi="宋体" w:cs="宋体"/>
                <w:b/>
                <w:bCs/>
                <w:color w:val="auto"/>
                <w:sz w:val="18"/>
                <w:szCs w:val="18"/>
                <w:highlight w:val="none"/>
              </w:rPr>
            </w:pPr>
            <w:r>
              <w:rPr>
                <w:rFonts w:hint="eastAsia" w:hAnsi="宋体" w:cs="宋体"/>
                <w:b/>
                <w:bCs/>
                <w:color w:val="auto"/>
                <w:sz w:val="18"/>
                <w:szCs w:val="18"/>
                <w:highlight w:val="none"/>
              </w:rPr>
              <w:t>品牌、规格、型号</w:t>
            </w:r>
          </w:p>
        </w:tc>
        <w:tc>
          <w:tcPr>
            <w:tcW w:w="1125" w:type="dxa"/>
            <w:tcBorders>
              <w:top w:val="single" w:color="auto" w:sz="4" w:space="0"/>
              <w:left w:val="nil"/>
              <w:bottom w:val="single" w:color="auto" w:sz="4" w:space="0"/>
              <w:right w:val="single" w:color="auto" w:sz="4" w:space="0"/>
            </w:tcBorders>
            <w:noWrap w:val="0"/>
            <w:vAlign w:val="center"/>
          </w:tcPr>
          <w:p w14:paraId="04D9904C">
            <w:pPr>
              <w:widowControl/>
              <w:jc w:val="center"/>
              <w:rPr>
                <w:rFonts w:hAnsi="宋体" w:cs="宋体"/>
                <w:b/>
                <w:bCs/>
                <w:color w:val="auto"/>
                <w:sz w:val="18"/>
                <w:szCs w:val="18"/>
                <w:highlight w:val="none"/>
              </w:rPr>
            </w:pPr>
            <w:r>
              <w:rPr>
                <w:rFonts w:hint="eastAsia" w:hAnsi="宋体" w:cs="宋体"/>
                <w:b/>
                <w:bCs/>
                <w:color w:val="auto"/>
                <w:sz w:val="18"/>
                <w:szCs w:val="18"/>
                <w:highlight w:val="none"/>
              </w:rPr>
              <w:t>是否挂网</w:t>
            </w:r>
          </w:p>
        </w:tc>
        <w:tc>
          <w:tcPr>
            <w:tcW w:w="1318" w:type="dxa"/>
            <w:tcBorders>
              <w:top w:val="single" w:color="auto" w:sz="4" w:space="0"/>
              <w:left w:val="nil"/>
              <w:bottom w:val="single" w:color="auto" w:sz="4" w:space="0"/>
              <w:right w:val="single" w:color="auto" w:sz="4" w:space="0"/>
            </w:tcBorders>
            <w:noWrap w:val="0"/>
            <w:vAlign w:val="center"/>
          </w:tcPr>
          <w:p w14:paraId="7B0C3410">
            <w:pPr>
              <w:widowControl/>
              <w:jc w:val="center"/>
              <w:rPr>
                <w:rFonts w:hAnsi="宋体" w:cs="宋体"/>
                <w:b/>
                <w:bCs/>
                <w:color w:val="auto"/>
                <w:sz w:val="18"/>
                <w:szCs w:val="18"/>
                <w:highlight w:val="none"/>
              </w:rPr>
            </w:pPr>
            <w:r>
              <w:rPr>
                <w:rFonts w:hint="eastAsia" w:hAnsi="宋体" w:cs="宋体"/>
                <w:b/>
                <w:bCs/>
                <w:color w:val="auto"/>
                <w:sz w:val="18"/>
                <w:szCs w:val="18"/>
                <w:highlight w:val="none"/>
              </w:rPr>
              <w:t>挂网流水号</w:t>
            </w:r>
          </w:p>
        </w:tc>
        <w:tc>
          <w:tcPr>
            <w:tcW w:w="645" w:type="dxa"/>
            <w:tcBorders>
              <w:top w:val="single" w:color="auto" w:sz="4" w:space="0"/>
              <w:left w:val="nil"/>
              <w:bottom w:val="single" w:color="auto" w:sz="4" w:space="0"/>
              <w:right w:val="single" w:color="auto" w:sz="4" w:space="0"/>
            </w:tcBorders>
            <w:noWrap w:val="0"/>
            <w:vAlign w:val="center"/>
          </w:tcPr>
          <w:p w14:paraId="733389CF">
            <w:pPr>
              <w:widowControl/>
              <w:jc w:val="center"/>
              <w:rPr>
                <w:rFonts w:hAnsi="宋体" w:cs="宋体"/>
                <w:b/>
                <w:bCs/>
                <w:color w:val="auto"/>
                <w:sz w:val="18"/>
                <w:szCs w:val="18"/>
                <w:highlight w:val="none"/>
              </w:rPr>
            </w:pPr>
            <w:r>
              <w:rPr>
                <w:rFonts w:hint="eastAsia" w:hAnsi="宋体" w:cs="宋体"/>
                <w:b/>
                <w:bCs/>
                <w:color w:val="auto"/>
                <w:sz w:val="18"/>
                <w:szCs w:val="18"/>
                <w:highlight w:val="none"/>
              </w:rPr>
              <w:t>单位</w:t>
            </w:r>
          </w:p>
        </w:tc>
        <w:tc>
          <w:tcPr>
            <w:tcW w:w="1020" w:type="dxa"/>
            <w:tcBorders>
              <w:top w:val="single" w:color="auto" w:sz="4" w:space="0"/>
              <w:left w:val="nil"/>
              <w:bottom w:val="single" w:color="auto" w:sz="4" w:space="0"/>
              <w:right w:val="single" w:color="auto" w:sz="4" w:space="0"/>
            </w:tcBorders>
            <w:noWrap w:val="0"/>
            <w:vAlign w:val="center"/>
          </w:tcPr>
          <w:p w14:paraId="696AF1A1">
            <w:pPr>
              <w:widowControl/>
              <w:jc w:val="center"/>
              <w:rPr>
                <w:rFonts w:hAnsi="宋体" w:cs="宋体"/>
                <w:b/>
                <w:bCs/>
                <w:color w:val="auto"/>
                <w:sz w:val="18"/>
                <w:szCs w:val="18"/>
                <w:highlight w:val="none"/>
              </w:rPr>
            </w:pPr>
            <w:r>
              <w:rPr>
                <w:rFonts w:hint="eastAsia" w:hAnsi="宋体" w:cs="宋体"/>
                <w:b/>
                <w:bCs/>
                <w:color w:val="auto"/>
                <w:sz w:val="18"/>
                <w:szCs w:val="18"/>
                <w:highlight w:val="none"/>
              </w:rPr>
              <w:t>单价（元）</w:t>
            </w:r>
          </w:p>
        </w:tc>
      </w:tr>
      <w:tr w14:paraId="6540DD83">
        <w:tblPrEx>
          <w:tblCellMar>
            <w:top w:w="0" w:type="dxa"/>
            <w:left w:w="108" w:type="dxa"/>
            <w:bottom w:w="0" w:type="dxa"/>
            <w:right w:w="108" w:type="dxa"/>
          </w:tblCellMar>
        </w:tblPrEx>
        <w:trPr>
          <w:trHeight w:val="561" w:hRule="atLeast"/>
          <w:jc w:val="center"/>
        </w:trPr>
        <w:tc>
          <w:tcPr>
            <w:tcW w:w="592" w:type="dxa"/>
            <w:tcBorders>
              <w:top w:val="nil"/>
              <w:left w:val="single" w:color="auto" w:sz="4" w:space="0"/>
              <w:bottom w:val="single" w:color="auto" w:sz="4" w:space="0"/>
              <w:right w:val="single" w:color="auto" w:sz="4" w:space="0"/>
            </w:tcBorders>
            <w:noWrap w:val="0"/>
            <w:vAlign w:val="center"/>
          </w:tcPr>
          <w:p w14:paraId="172EF853">
            <w:pPr>
              <w:widowControl/>
              <w:jc w:val="center"/>
              <w:rPr>
                <w:rFonts w:hAnsi="宋体" w:cs="宋体"/>
                <w:b/>
                <w:bCs/>
                <w:color w:val="auto"/>
                <w:sz w:val="18"/>
                <w:szCs w:val="18"/>
                <w:highlight w:val="none"/>
              </w:rPr>
            </w:pPr>
            <w:r>
              <w:rPr>
                <w:rFonts w:hint="eastAsia" w:hAnsi="宋体" w:cs="宋体"/>
                <w:b/>
                <w:bCs/>
                <w:color w:val="auto"/>
                <w:sz w:val="18"/>
                <w:szCs w:val="18"/>
                <w:highlight w:val="none"/>
              </w:rPr>
              <w:t>1</w:t>
            </w:r>
          </w:p>
        </w:tc>
        <w:tc>
          <w:tcPr>
            <w:tcW w:w="1015" w:type="dxa"/>
            <w:tcBorders>
              <w:top w:val="nil"/>
              <w:left w:val="nil"/>
              <w:bottom w:val="single" w:color="auto" w:sz="4" w:space="0"/>
              <w:right w:val="single" w:color="auto" w:sz="4" w:space="0"/>
            </w:tcBorders>
            <w:noWrap w:val="0"/>
            <w:vAlign w:val="center"/>
          </w:tcPr>
          <w:p w14:paraId="7A1892BB">
            <w:pPr>
              <w:widowControl/>
              <w:jc w:val="center"/>
              <w:rPr>
                <w:rFonts w:hAnsi="宋体" w:cs="宋体"/>
                <w:b/>
                <w:bCs/>
                <w:color w:val="auto"/>
                <w:sz w:val="18"/>
                <w:szCs w:val="18"/>
                <w:highlight w:val="none"/>
              </w:rPr>
            </w:pPr>
          </w:p>
        </w:tc>
        <w:tc>
          <w:tcPr>
            <w:tcW w:w="1445" w:type="dxa"/>
            <w:tcBorders>
              <w:top w:val="nil"/>
              <w:left w:val="nil"/>
              <w:bottom w:val="single" w:color="auto" w:sz="4" w:space="0"/>
              <w:right w:val="single" w:color="auto" w:sz="4" w:space="0"/>
            </w:tcBorders>
            <w:noWrap w:val="0"/>
            <w:vAlign w:val="center"/>
          </w:tcPr>
          <w:p w14:paraId="33926B05">
            <w:pPr>
              <w:widowControl/>
              <w:jc w:val="center"/>
              <w:rPr>
                <w:rFonts w:hAnsi="宋体" w:cs="宋体"/>
                <w:b/>
                <w:bCs/>
                <w:color w:val="auto"/>
                <w:sz w:val="18"/>
                <w:szCs w:val="18"/>
                <w:highlight w:val="none"/>
              </w:rPr>
            </w:pPr>
          </w:p>
        </w:tc>
        <w:tc>
          <w:tcPr>
            <w:tcW w:w="715" w:type="dxa"/>
            <w:tcBorders>
              <w:top w:val="nil"/>
              <w:left w:val="nil"/>
              <w:bottom w:val="single" w:color="auto" w:sz="4" w:space="0"/>
              <w:right w:val="single" w:color="auto" w:sz="4" w:space="0"/>
            </w:tcBorders>
            <w:noWrap w:val="0"/>
            <w:vAlign w:val="center"/>
          </w:tcPr>
          <w:p w14:paraId="40779110">
            <w:pPr>
              <w:widowControl/>
              <w:jc w:val="center"/>
              <w:rPr>
                <w:rFonts w:hAnsi="宋体" w:cs="宋体"/>
                <w:b/>
                <w:bCs/>
                <w:color w:val="auto"/>
                <w:sz w:val="18"/>
                <w:szCs w:val="18"/>
                <w:highlight w:val="none"/>
              </w:rPr>
            </w:pPr>
          </w:p>
        </w:tc>
        <w:tc>
          <w:tcPr>
            <w:tcW w:w="1635" w:type="dxa"/>
            <w:tcBorders>
              <w:top w:val="nil"/>
              <w:left w:val="nil"/>
              <w:bottom w:val="single" w:color="auto" w:sz="4" w:space="0"/>
              <w:right w:val="single" w:color="auto" w:sz="4" w:space="0"/>
            </w:tcBorders>
            <w:noWrap w:val="0"/>
            <w:vAlign w:val="center"/>
          </w:tcPr>
          <w:p w14:paraId="7CF4D356">
            <w:pPr>
              <w:widowControl/>
              <w:jc w:val="center"/>
              <w:rPr>
                <w:rFonts w:hAnsi="宋体" w:cs="宋体"/>
                <w:b/>
                <w:bCs/>
                <w:color w:val="auto"/>
                <w:sz w:val="18"/>
                <w:szCs w:val="18"/>
                <w:highlight w:val="none"/>
              </w:rPr>
            </w:pPr>
          </w:p>
        </w:tc>
        <w:tc>
          <w:tcPr>
            <w:tcW w:w="1125" w:type="dxa"/>
            <w:tcBorders>
              <w:top w:val="nil"/>
              <w:left w:val="nil"/>
              <w:bottom w:val="single" w:color="auto" w:sz="4" w:space="0"/>
              <w:right w:val="single" w:color="auto" w:sz="4" w:space="0"/>
            </w:tcBorders>
            <w:noWrap w:val="0"/>
            <w:vAlign w:val="center"/>
          </w:tcPr>
          <w:p w14:paraId="48EF0D07">
            <w:pPr>
              <w:widowControl/>
              <w:jc w:val="center"/>
              <w:rPr>
                <w:rFonts w:hAnsi="宋体" w:cs="宋体"/>
                <w:b/>
                <w:bCs/>
                <w:color w:val="auto"/>
                <w:sz w:val="18"/>
                <w:szCs w:val="18"/>
                <w:highlight w:val="none"/>
              </w:rPr>
            </w:pPr>
          </w:p>
        </w:tc>
        <w:tc>
          <w:tcPr>
            <w:tcW w:w="1318" w:type="dxa"/>
            <w:tcBorders>
              <w:top w:val="nil"/>
              <w:left w:val="nil"/>
              <w:bottom w:val="single" w:color="auto" w:sz="4" w:space="0"/>
              <w:right w:val="single" w:color="auto" w:sz="4" w:space="0"/>
            </w:tcBorders>
            <w:noWrap w:val="0"/>
            <w:vAlign w:val="center"/>
          </w:tcPr>
          <w:p w14:paraId="29856B0A">
            <w:pPr>
              <w:widowControl/>
              <w:jc w:val="center"/>
              <w:rPr>
                <w:rFonts w:hAnsi="宋体" w:cs="宋体"/>
                <w:b/>
                <w:bCs/>
                <w:color w:val="auto"/>
                <w:sz w:val="18"/>
                <w:szCs w:val="18"/>
                <w:highlight w:val="none"/>
              </w:rPr>
            </w:pPr>
          </w:p>
        </w:tc>
        <w:tc>
          <w:tcPr>
            <w:tcW w:w="645" w:type="dxa"/>
            <w:tcBorders>
              <w:top w:val="single" w:color="auto" w:sz="4" w:space="0"/>
              <w:left w:val="single" w:color="auto" w:sz="4" w:space="0"/>
              <w:bottom w:val="single" w:color="auto" w:sz="4" w:space="0"/>
              <w:right w:val="single" w:color="auto" w:sz="4" w:space="0"/>
            </w:tcBorders>
            <w:noWrap w:val="0"/>
            <w:vAlign w:val="center"/>
          </w:tcPr>
          <w:p w14:paraId="59BA3F1B">
            <w:pPr>
              <w:widowControl/>
              <w:jc w:val="center"/>
              <w:rPr>
                <w:rFonts w:hAnsi="宋体" w:cs="宋体"/>
                <w:b/>
                <w:bCs/>
                <w:color w:val="auto"/>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14:paraId="0CB55785">
            <w:pPr>
              <w:widowControl/>
              <w:jc w:val="center"/>
              <w:rPr>
                <w:rFonts w:hAnsi="宋体" w:cs="宋体"/>
                <w:b/>
                <w:bCs/>
                <w:color w:val="auto"/>
                <w:sz w:val="18"/>
                <w:szCs w:val="18"/>
                <w:highlight w:val="none"/>
              </w:rPr>
            </w:pPr>
          </w:p>
        </w:tc>
      </w:tr>
      <w:tr w14:paraId="6B4D56FF">
        <w:tblPrEx>
          <w:tblCellMar>
            <w:top w:w="0" w:type="dxa"/>
            <w:left w:w="108" w:type="dxa"/>
            <w:bottom w:w="0" w:type="dxa"/>
            <w:right w:w="108" w:type="dxa"/>
          </w:tblCellMar>
        </w:tblPrEx>
        <w:trPr>
          <w:trHeight w:val="555" w:hRule="atLeast"/>
          <w:jc w:val="center"/>
        </w:trPr>
        <w:tc>
          <w:tcPr>
            <w:tcW w:w="592" w:type="dxa"/>
            <w:tcBorders>
              <w:top w:val="nil"/>
              <w:left w:val="single" w:color="auto" w:sz="4" w:space="0"/>
              <w:bottom w:val="single" w:color="auto" w:sz="4" w:space="0"/>
              <w:right w:val="single" w:color="auto" w:sz="4" w:space="0"/>
            </w:tcBorders>
            <w:noWrap w:val="0"/>
            <w:vAlign w:val="center"/>
          </w:tcPr>
          <w:p w14:paraId="7A6485BE">
            <w:pPr>
              <w:widowControl/>
              <w:jc w:val="center"/>
              <w:rPr>
                <w:rFonts w:hAnsi="宋体" w:cs="宋体"/>
                <w:b/>
                <w:bCs/>
                <w:color w:val="auto"/>
                <w:sz w:val="18"/>
                <w:szCs w:val="18"/>
                <w:highlight w:val="none"/>
              </w:rPr>
            </w:pPr>
            <w:r>
              <w:rPr>
                <w:rFonts w:hint="eastAsia" w:hAnsi="宋体" w:cs="宋体"/>
                <w:b/>
                <w:bCs/>
                <w:color w:val="auto"/>
                <w:sz w:val="18"/>
                <w:szCs w:val="18"/>
                <w:highlight w:val="none"/>
              </w:rPr>
              <w:t>2</w:t>
            </w:r>
          </w:p>
        </w:tc>
        <w:tc>
          <w:tcPr>
            <w:tcW w:w="1015" w:type="dxa"/>
            <w:tcBorders>
              <w:top w:val="nil"/>
              <w:left w:val="nil"/>
              <w:bottom w:val="single" w:color="auto" w:sz="4" w:space="0"/>
              <w:right w:val="single" w:color="auto" w:sz="4" w:space="0"/>
            </w:tcBorders>
            <w:noWrap w:val="0"/>
            <w:vAlign w:val="center"/>
          </w:tcPr>
          <w:p w14:paraId="65704236">
            <w:pPr>
              <w:widowControl/>
              <w:jc w:val="center"/>
              <w:rPr>
                <w:rFonts w:hAnsi="宋体" w:cs="宋体"/>
                <w:b/>
                <w:bCs/>
                <w:color w:val="auto"/>
                <w:sz w:val="18"/>
                <w:szCs w:val="18"/>
                <w:highlight w:val="none"/>
              </w:rPr>
            </w:pPr>
          </w:p>
        </w:tc>
        <w:tc>
          <w:tcPr>
            <w:tcW w:w="1445" w:type="dxa"/>
            <w:tcBorders>
              <w:top w:val="nil"/>
              <w:left w:val="nil"/>
              <w:bottom w:val="single" w:color="auto" w:sz="4" w:space="0"/>
              <w:right w:val="single" w:color="auto" w:sz="4" w:space="0"/>
            </w:tcBorders>
            <w:noWrap w:val="0"/>
            <w:vAlign w:val="center"/>
          </w:tcPr>
          <w:p w14:paraId="0DB8391C">
            <w:pPr>
              <w:widowControl/>
              <w:jc w:val="center"/>
              <w:rPr>
                <w:rFonts w:hAnsi="宋体" w:cs="宋体"/>
                <w:b/>
                <w:bCs/>
                <w:color w:val="auto"/>
                <w:sz w:val="18"/>
                <w:szCs w:val="18"/>
                <w:highlight w:val="none"/>
              </w:rPr>
            </w:pPr>
          </w:p>
        </w:tc>
        <w:tc>
          <w:tcPr>
            <w:tcW w:w="715" w:type="dxa"/>
            <w:tcBorders>
              <w:top w:val="nil"/>
              <w:left w:val="nil"/>
              <w:bottom w:val="single" w:color="auto" w:sz="4" w:space="0"/>
              <w:right w:val="single" w:color="auto" w:sz="4" w:space="0"/>
            </w:tcBorders>
            <w:noWrap w:val="0"/>
            <w:vAlign w:val="center"/>
          </w:tcPr>
          <w:p w14:paraId="24546549">
            <w:pPr>
              <w:widowControl/>
              <w:jc w:val="center"/>
              <w:rPr>
                <w:rFonts w:hAnsi="宋体" w:cs="宋体"/>
                <w:b/>
                <w:bCs/>
                <w:color w:val="auto"/>
                <w:sz w:val="18"/>
                <w:szCs w:val="18"/>
                <w:highlight w:val="none"/>
              </w:rPr>
            </w:pPr>
          </w:p>
        </w:tc>
        <w:tc>
          <w:tcPr>
            <w:tcW w:w="1635" w:type="dxa"/>
            <w:tcBorders>
              <w:top w:val="nil"/>
              <w:left w:val="nil"/>
              <w:bottom w:val="single" w:color="auto" w:sz="4" w:space="0"/>
              <w:right w:val="single" w:color="auto" w:sz="4" w:space="0"/>
            </w:tcBorders>
            <w:noWrap w:val="0"/>
            <w:vAlign w:val="center"/>
          </w:tcPr>
          <w:p w14:paraId="40BA90B3">
            <w:pPr>
              <w:widowControl/>
              <w:jc w:val="center"/>
              <w:rPr>
                <w:rFonts w:hAnsi="宋体" w:cs="宋体"/>
                <w:b/>
                <w:bCs/>
                <w:color w:val="auto"/>
                <w:sz w:val="18"/>
                <w:szCs w:val="18"/>
                <w:highlight w:val="none"/>
              </w:rPr>
            </w:pPr>
          </w:p>
        </w:tc>
        <w:tc>
          <w:tcPr>
            <w:tcW w:w="1125" w:type="dxa"/>
            <w:tcBorders>
              <w:top w:val="nil"/>
              <w:left w:val="nil"/>
              <w:bottom w:val="single" w:color="auto" w:sz="4" w:space="0"/>
              <w:right w:val="single" w:color="auto" w:sz="4" w:space="0"/>
            </w:tcBorders>
            <w:noWrap w:val="0"/>
            <w:vAlign w:val="center"/>
          </w:tcPr>
          <w:p w14:paraId="48817CEF">
            <w:pPr>
              <w:widowControl/>
              <w:jc w:val="center"/>
              <w:rPr>
                <w:rFonts w:hAnsi="宋体" w:cs="宋体"/>
                <w:b/>
                <w:bCs/>
                <w:color w:val="auto"/>
                <w:sz w:val="18"/>
                <w:szCs w:val="18"/>
                <w:highlight w:val="none"/>
              </w:rPr>
            </w:pPr>
          </w:p>
        </w:tc>
        <w:tc>
          <w:tcPr>
            <w:tcW w:w="1318" w:type="dxa"/>
            <w:tcBorders>
              <w:top w:val="nil"/>
              <w:left w:val="nil"/>
              <w:bottom w:val="single" w:color="auto" w:sz="4" w:space="0"/>
              <w:right w:val="single" w:color="auto" w:sz="4" w:space="0"/>
            </w:tcBorders>
            <w:noWrap w:val="0"/>
            <w:vAlign w:val="center"/>
          </w:tcPr>
          <w:p w14:paraId="066A52E6">
            <w:pPr>
              <w:widowControl/>
              <w:jc w:val="center"/>
              <w:rPr>
                <w:rFonts w:hAnsi="宋体" w:cs="宋体"/>
                <w:b/>
                <w:bCs/>
                <w:color w:val="auto"/>
                <w:sz w:val="18"/>
                <w:szCs w:val="18"/>
                <w:highlight w:val="none"/>
              </w:rPr>
            </w:pPr>
          </w:p>
        </w:tc>
        <w:tc>
          <w:tcPr>
            <w:tcW w:w="645" w:type="dxa"/>
            <w:tcBorders>
              <w:top w:val="single" w:color="auto" w:sz="4" w:space="0"/>
              <w:left w:val="single" w:color="auto" w:sz="4" w:space="0"/>
              <w:bottom w:val="single" w:color="auto" w:sz="4" w:space="0"/>
              <w:right w:val="single" w:color="auto" w:sz="4" w:space="0"/>
            </w:tcBorders>
            <w:noWrap w:val="0"/>
            <w:vAlign w:val="center"/>
          </w:tcPr>
          <w:p w14:paraId="357E5E44">
            <w:pPr>
              <w:widowControl/>
              <w:jc w:val="center"/>
              <w:rPr>
                <w:rFonts w:hAnsi="宋体" w:cs="宋体"/>
                <w:b/>
                <w:bCs/>
                <w:color w:val="auto"/>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14:paraId="0C1214A6">
            <w:pPr>
              <w:widowControl/>
              <w:jc w:val="center"/>
              <w:rPr>
                <w:rFonts w:hAnsi="宋体" w:cs="宋体"/>
                <w:b/>
                <w:bCs/>
                <w:color w:val="auto"/>
                <w:sz w:val="18"/>
                <w:szCs w:val="18"/>
                <w:highlight w:val="none"/>
              </w:rPr>
            </w:pPr>
          </w:p>
        </w:tc>
      </w:tr>
      <w:tr w14:paraId="7A9505F5">
        <w:tblPrEx>
          <w:tblCellMar>
            <w:top w:w="0" w:type="dxa"/>
            <w:left w:w="108" w:type="dxa"/>
            <w:bottom w:w="0" w:type="dxa"/>
            <w:right w:w="108" w:type="dxa"/>
          </w:tblCellMar>
        </w:tblPrEx>
        <w:trPr>
          <w:trHeight w:val="537" w:hRule="atLeast"/>
          <w:jc w:val="center"/>
        </w:trPr>
        <w:tc>
          <w:tcPr>
            <w:tcW w:w="592" w:type="dxa"/>
            <w:tcBorders>
              <w:top w:val="nil"/>
              <w:left w:val="single" w:color="auto" w:sz="4" w:space="0"/>
              <w:bottom w:val="single" w:color="auto" w:sz="4" w:space="0"/>
              <w:right w:val="single" w:color="auto" w:sz="4" w:space="0"/>
            </w:tcBorders>
            <w:noWrap w:val="0"/>
            <w:vAlign w:val="center"/>
          </w:tcPr>
          <w:p w14:paraId="32D12947">
            <w:pPr>
              <w:widowControl/>
              <w:jc w:val="center"/>
              <w:rPr>
                <w:rFonts w:hAnsi="宋体" w:cs="宋体"/>
                <w:b/>
                <w:bCs/>
                <w:color w:val="auto"/>
                <w:sz w:val="18"/>
                <w:szCs w:val="18"/>
                <w:highlight w:val="none"/>
              </w:rPr>
            </w:pPr>
            <w:r>
              <w:rPr>
                <w:rFonts w:hint="eastAsia" w:hAnsi="宋体" w:cs="宋体"/>
                <w:b/>
                <w:bCs/>
                <w:color w:val="auto"/>
                <w:sz w:val="18"/>
                <w:szCs w:val="18"/>
                <w:highlight w:val="none"/>
              </w:rPr>
              <w:t>3</w:t>
            </w:r>
          </w:p>
        </w:tc>
        <w:tc>
          <w:tcPr>
            <w:tcW w:w="1015" w:type="dxa"/>
            <w:tcBorders>
              <w:top w:val="nil"/>
              <w:left w:val="nil"/>
              <w:bottom w:val="single" w:color="auto" w:sz="4" w:space="0"/>
              <w:right w:val="single" w:color="auto" w:sz="4" w:space="0"/>
            </w:tcBorders>
            <w:noWrap w:val="0"/>
            <w:vAlign w:val="center"/>
          </w:tcPr>
          <w:p w14:paraId="6EC41F02">
            <w:pPr>
              <w:widowControl/>
              <w:jc w:val="center"/>
              <w:rPr>
                <w:rFonts w:hAnsi="宋体" w:cs="宋体"/>
                <w:b/>
                <w:bCs/>
                <w:color w:val="auto"/>
                <w:sz w:val="18"/>
                <w:szCs w:val="18"/>
                <w:highlight w:val="none"/>
              </w:rPr>
            </w:pPr>
          </w:p>
        </w:tc>
        <w:tc>
          <w:tcPr>
            <w:tcW w:w="1445" w:type="dxa"/>
            <w:tcBorders>
              <w:top w:val="nil"/>
              <w:left w:val="nil"/>
              <w:bottom w:val="single" w:color="auto" w:sz="4" w:space="0"/>
              <w:right w:val="single" w:color="auto" w:sz="4" w:space="0"/>
            </w:tcBorders>
            <w:noWrap w:val="0"/>
            <w:vAlign w:val="center"/>
          </w:tcPr>
          <w:p w14:paraId="636E1125">
            <w:pPr>
              <w:widowControl/>
              <w:jc w:val="center"/>
              <w:rPr>
                <w:rFonts w:hAnsi="宋体" w:cs="宋体"/>
                <w:b/>
                <w:bCs/>
                <w:color w:val="auto"/>
                <w:sz w:val="18"/>
                <w:szCs w:val="18"/>
                <w:highlight w:val="none"/>
              </w:rPr>
            </w:pPr>
          </w:p>
        </w:tc>
        <w:tc>
          <w:tcPr>
            <w:tcW w:w="715" w:type="dxa"/>
            <w:tcBorders>
              <w:top w:val="nil"/>
              <w:left w:val="nil"/>
              <w:bottom w:val="single" w:color="auto" w:sz="4" w:space="0"/>
              <w:right w:val="single" w:color="auto" w:sz="4" w:space="0"/>
            </w:tcBorders>
            <w:noWrap w:val="0"/>
            <w:vAlign w:val="center"/>
          </w:tcPr>
          <w:p w14:paraId="0F6E71E3">
            <w:pPr>
              <w:widowControl/>
              <w:jc w:val="center"/>
              <w:rPr>
                <w:rFonts w:hAnsi="宋体" w:cs="宋体"/>
                <w:b/>
                <w:bCs/>
                <w:color w:val="auto"/>
                <w:sz w:val="18"/>
                <w:szCs w:val="18"/>
                <w:highlight w:val="none"/>
              </w:rPr>
            </w:pPr>
          </w:p>
        </w:tc>
        <w:tc>
          <w:tcPr>
            <w:tcW w:w="1635" w:type="dxa"/>
            <w:tcBorders>
              <w:top w:val="nil"/>
              <w:left w:val="nil"/>
              <w:bottom w:val="single" w:color="auto" w:sz="4" w:space="0"/>
              <w:right w:val="single" w:color="auto" w:sz="4" w:space="0"/>
            </w:tcBorders>
            <w:noWrap w:val="0"/>
            <w:vAlign w:val="center"/>
          </w:tcPr>
          <w:p w14:paraId="68904FCD">
            <w:pPr>
              <w:widowControl/>
              <w:jc w:val="center"/>
              <w:rPr>
                <w:rFonts w:hAnsi="宋体" w:cs="宋体"/>
                <w:b/>
                <w:bCs/>
                <w:color w:val="auto"/>
                <w:sz w:val="18"/>
                <w:szCs w:val="18"/>
                <w:highlight w:val="none"/>
              </w:rPr>
            </w:pPr>
          </w:p>
        </w:tc>
        <w:tc>
          <w:tcPr>
            <w:tcW w:w="1125" w:type="dxa"/>
            <w:tcBorders>
              <w:top w:val="nil"/>
              <w:left w:val="nil"/>
              <w:bottom w:val="single" w:color="auto" w:sz="4" w:space="0"/>
              <w:right w:val="single" w:color="auto" w:sz="4" w:space="0"/>
            </w:tcBorders>
            <w:noWrap w:val="0"/>
            <w:vAlign w:val="center"/>
          </w:tcPr>
          <w:p w14:paraId="00FF22F0">
            <w:pPr>
              <w:widowControl/>
              <w:jc w:val="center"/>
              <w:rPr>
                <w:rFonts w:hAnsi="宋体" w:cs="宋体"/>
                <w:b/>
                <w:bCs/>
                <w:color w:val="auto"/>
                <w:sz w:val="18"/>
                <w:szCs w:val="18"/>
                <w:highlight w:val="none"/>
              </w:rPr>
            </w:pPr>
          </w:p>
        </w:tc>
        <w:tc>
          <w:tcPr>
            <w:tcW w:w="1318" w:type="dxa"/>
            <w:tcBorders>
              <w:top w:val="nil"/>
              <w:left w:val="nil"/>
              <w:bottom w:val="single" w:color="auto" w:sz="4" w:space="0"/>
              <w:right w:val="single" w:color="auto" w:sz="4" w:space="0"/>
            </w:tcBorders>
            <w:noWrap w:val="0"/>
            <w:vAlign w:val="center"/>
          </w:tcPr>
          <w:p w14:paraId="14B15B40">
            <w:pPr>
              <w:widowControl/>
              <w:jc w:val="center"/>
              <w:rPr>
                <w:rFonts w:hAnsi="宋体" w:cs="宋体"/>
                <w:b/>
                <w:bCs/>
                <w:color w:val="auto"/>
                <w:sz w:val="18"/>
                <w:szCs w:val="18"/>
                <w:highlight w:val="none"/>
              </w:rPr>
            </w:pPr>
          </w:p>
        </w:tc>
        <w:tc>
          <w:tcPr>
            <w:tcW w:w="645" w:type="dxa"/>
            <w:tcBorders>
              <w:top w:val="single" w:color="auto" w:sz="4" w:space="0"/>
              <w:left w:val="single" w:color="auto" w:sz="4" w:space="0"/>
              <w:bottom w:val="single" w:color="auto" w:sz="4" w:space="0"/>
              <w:right w:val="single" w:color="auto" w:sz="4" w:space="0"/>
            </w:tcBorders>
            <w:noWrap w:val="0"/>
            <w:vAlign w:val="center"/>
          </w:tcPr>
          <w:p w14:paraId="1B9261F1">
            <w:pPr>
              <w:widowControl/>
              <w:jc w:val="center"/>
              <w:rPr>
                <w:rFonts w:hAnsi="宋体" w:cs="宋体"/>
                <w:b/>
                <w:bCs/>
                <w:color w:val="auto"/>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14:paraId="3218AD82">
            <w:pPr>
              <w:widowControl/>
              <w:jc w:val="center"/>
              <w:rPr>
                <w:rFonts w:hAnsi="宋体" w:cs="宋体"/>
                <w:b/>
                <w:bCs/>
                <w:color w:val="auto"/>
                <w:sz w:val="18"/>
                <w:szCs w:val="18"/>
                <w:highlight w:val="none"/>
              </w:rPr>
            </w:pPr>
          </w:p>
        </w:tc>
      </w:tr>
      <w:tr w14:paraId="249314CB">
        <w:tblPrEx>
          <w:tblCellMar>
            <w:top w:w="0" w:type="dxa"/>
            <w:left w:w="108" w:type="dxa"/>
            <w:bottom w:w="0" w:type="dxa"/>
            <w:right w:w="108" w:type="dxa"/>
          </w:tblCellMar>
        </w:tblPrEx>
        <w:trPr>
          <w:trHeight w:val="537" w:hRule="atLeast"/>
          <w:jc w:val="center"/>
        </w:trPr>
        <w:tc>
          <w:tcPr>
            <w:tcW w:w="592" w:type="dxa"/>
            <w:tcBorders>
              <w:top w:val="nil"/>
              <w:left w:val="single" w:color="auto" w:sz="4" w:space="0"/>
              <w:bottom w:val="single" w:color="auto" w:sz="4" w:space="0"/>
              <w:right w:val="single" w:color="auto" w:sz="4" w:space="0"/>
            </w:tcBorders>
            <w:noWrap w:val="0"/>
            <w:vAlign w:val="center"/>
          </w:tcPr>
          <w:p w14:paraId="05ED4DAB">
            <w:pPr>
              <w:widowControl/>
              <w:jc w:val="center"/>
              <w:rPr>
                <w:rFonts w:hAnsi="宋体" w:cs="宋体"/>
                <w:b/>
                <w:bCs/>
                <w:color w:val="auto"/>
                <w:sz w:val="18"/>
                <w:szCs w:val="18"/>
                <w:highlight w:val="none"/>
              </w:rPr>
            </w:pPr>
            <w:r>
              <w:rPr>
                <w:rFonts w:hint="eastAsia" w:hAnsi="宋体" w:cs="宋体"/>
                <w:b/>
                <w:bCs/>
                <w:color w:val="auto"/>
                <w:sz w:val="18"/>
                <w:szCs w:val="18"/>
                <w:highlight w:val="none"/>
              </w:rPr>
              <w:t>4</w:t>
            </w:r>
          </w:p>
        </w:tc>
        <w:tc>
          <w:tcPr>
            <w:tcW w:w="1015" w:type="dxa"/>
            <w:tcBorders>
              <w:top w:val="nil"/>
              <w:left w:val="nil"/>
              <w:bottom w:val="single" w:color="auto" w:sz="4" w:space="0"/>
              <w:right w:val="single" w:color="auto" w:sz="4" w:space="0"/>
            </w:tcBorders>
            <w:noWrap w:val="0"/>
            <w:vAlign w:val="center"/>
          </w:tcPr>
          <w:p w14:paraId="205774B2">
            <w:pPr>
              <w:widowControl/>
              <w:jc w:val="center"/>
              <w:rPr>
                <w:rFonts w:hAnsi="宋体" w:cs="宋体"/>
                <w:b/>
                <w:bCs/>
                <w:color w:val="auto"/>
                <w:sz w:val="18"/>
                <w:szCs w:val="18"/>
                <w:highlight w:val="none"/>
              </w:rPr>
            </w:pPr>
          </w:p>
        </w:tc>
        <w:tc>
          <w:tcPr>
            <w:tcW w:w="1445" w:type="dxa"/>
            <w:tcBorders>
              <w:top w:val="nil"/>
              <w:left w:val="nil"/>
              <w:bottom w:val="single" w:color="auto" w:sz="4" w:space="0"/>
              <w:right w:val="single" w:color="auto" w:sz="4" w:space="0"/>
            </w:tcBorders>
            <w:noWrap w:val="0"/>
            <w:vAlign w:val="center"/>
          </w:tcPr>
          <w:p w14:paraId="754DCC83">
            <w:pPr>
              <w:widowControl/>
              <w:jc w:val="center"/>
              <w:rPr>
                <w:rFonts w:hAnsi="宋体" w:cs="宋体"/>
                <w:b/>
                <w:bCs/>
                <w:color w:val="auto"/>
                <w:sz w:val="18"/>
                <w:szCs w:val="18"/>
                <w:highlight w:val="none"/>
              </w:rPr>
            </w:pPr>
          </w:p>
        </w:tc>
        <w:tc>
          <w:tcPr>
            <w:tcW w:w="715" w:type="dxa"/>
            <w:tcBorders>
              <w:top w:val="nil"/>
              <w:left w:val="nil"/>
              <w:bottom w:val="single" w:color="auto" w:sz="4" w:space="0"/>
              <w:right w:val="single" w:color="auto" w:sz="4" w:space="0"/>
            </w:tcBorders>
            <w:noWrap w:val="0"/>
            <w:vAlign w:val="center"/>
          </w:tcPr>
          <w:p w14:paraId="47E82793">
            <w:pPr>
              <w:widowControl/>
              <w:jc w:val="center"/>
              <w:rPr>
                <w:rFonts w:hAnsi="宋体" w:cs="宋体"/>
                <w:b/>
                <w:bCs/>
                <w:color w:val="auto"/>
                <w:sz w:val="18"/>
                <w:szCs w:val="18"/>
                <w:highlight w:val="none"/>
              </w:rPr>
            </w:pPr>
          </w:p>
        </w:tc>
        <w:tc>
          <w:tcPr>
            <w:tcW w:w="1635" w:type="dxa"/>
            <w:tcBorders>
              <w:top w:val="nil"/>
              <w:left w:val="nil"/>
              <w:bottom w:val="single" w:color="auto" w:sz="4" w:space="0"/>
              <w:right w:val="single" w:color="auto" w:sz="4" w:space="0"/>
            </w:tcBorders>
            <w:noWrap w:val="0"/>
            <w:vAlign w:val="center"/>
          </w:tcPr>
          <w:p w14:paraId="11C03A98">
            <w:pPr>
              <w:widowControl/>
              <w:jc w:val="center"/>
              <w:rPr>
                <w:rFonts w:hAnsi="宋体" w:cs="宋体"/>
                <w:b/>
                <w:bCs/>
                <w:color w:val="auto"/>
                <w:sz w:val="18"/>
                <w:szCs w:val="18"/>
                <w:highlight w:val="none"/>
              </w:rPr>
            </w:pPr>
          </w:p>
        </w:tc>
        <w:tc>
          <w:tcPr>
            <w:tcW w:w="1125" w:type="dxa"/>
            <w:tcBorders>
              <w:top w:val="nil"/>
              <w:left w:val="nil"/>
              <w:bottom w:val="single" w:color="auto" w:sz="4" w:space="0"/>
              <w:right w:val="single" w:color="auto" w:sz="4" w:space="0"/>
            </w:tcBorders>
            <w:noWrap w:val="0"/>
            <w:vAlign w:val="center"/>
          </w:tcPr>
          <w:p w14:paraId="335AB23E">
            <w:pPr>
              <w:widowControl/>
              <w:jc w:val="center"/>
              <w:rPr>
                <w:rFonts w:hAnsi="宋体" w:cs="宋体"/>
                <w:b/>
                <w:bCs/>
                <w:color w:val="auto"/>
                <w:sz w:val="18"/>
                <w:szCs w:val="18"/>
                <w:highlight w:val="none"/>
              </w:rPr>
            </w:pPr>
          </w:p>
        </w:tc>
        <w:tc>
          <w:tcPr>
            <w:tcW w:w="1318" w:type="dxa"/>
            <w:tcBorders>
              <w:top w:val="nil"/>
              <w:left w:val="nil"/>
              <w:bottom w:val="single" w:color="auto" w:sz="4" w:space="0"/>
              <w:right w:val="single" w:color="auto" w:sz="4" w:space="0"/>
            </w:tcBorders>
            <w:noWrap w:val="0"/>
            <w:vAlign w:val="center"/>
          </w:tcPr>
          <w:p w14:paraId="6866F25E">
            <w:pPr>
              <w:widowControl/>
              <w:jc w:val="center"/>
              <w:rPr>
                <w:rFonts w:hAnsi="宋体" w:cs="宋体"/>
                <w:b/>
                <w:bCs/>
                <w:color w:val="auto"/>
                <w:sz w:val="18"/>
                <w:szCs w:val="18"/>
                <w:highlight w:val="none"/>
              </w:rPr>
            </w:pPr>
          </w:p>
        </w:tc>
        <w:tc>
          <w:tcPr>
            <w:tcW w:w="645" w:type="dxa"/>
            <w:tcBorders>
              <w:top w:val="single" w:color="auto" w:sz="4" w:space="0"/>
              <w:left w:val="single" w:color="auto" w:sz="4" w:space="0"/>
              <w:bottom w:val="single" w:color="auto" w:sz="4" w:space="0"/>
              <w:right w:val="single" w:color="auto" w:sz="4" w:space="0"/>
            </w:tcBorders>
            <w:noWrap w:val="0"/>
            <w:vAlign w:val="center"/>
          </w:tcPr>
          <w:p w14:paraId="516559D5">
            <w:pPr>
              <w:widowControl/>
              <w:jc w:val="center"/>
              <w:rPr>
                <w:rFonts w:hAnsi="宋体" w:cs="宋体"/>
                <w:b/>
                <w:bCs/>
                <w:color w:val="auto"/>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14:paraId="4FF37349">
            <w:pPr>
              <w:widowControl/>
              <w:jc w:val="center"/>
              <w:rPr>
                <w:rFonts w:hAnsi="宋体" w:cs="宋体"/>
                <w:b/>
                <w:bCs/>
                <w:color w:val="auto"/>
                <w:sz w:val="18"/>
                <w:szCs w:val="18"/>
                <w:highlight w:val="none"/>
              </w:rPr>
            </w:pPr>
          </w:p>
        </w:tc>
      </w:tr>
      <w:tr w14:paraId="744F9C60">
        <w:tblPrEx>
          <w:tblCellMar>
            <w:top w:w="0" w:type="dxa"/>
            <w:left w:w="108" w:type="dxa"/>
            <w:bottom w:w="0" w:type="dxa"/>
            <w:right w:w="108" w:type="dxa"/>
          </w:tblCellMar>
        </w:tblPrEx>
        <w:trPr>
          <w:trHeight w:val="500" w:hRule="atLeast"/>
          <w:jc w:val="center"/>
        </w:trPr>
        <w:tc>
          <w:tcPr>
            <w:tcW w:w="592" w:type="dxa"/>
            <w:tcBorders>
              <w:top w:val="nil"/>
              <w:left w:val="single" w:color="auto" w:sz="4" w:space="0"/>
              <w:bottom w:val="single" w:color="auto" w:sz="4" w:space="0"/>
              <w:right w:val="single" w:color="auto" w:sz="4" w:space="0"/>
            </w:tcBorders>
            <w:noWrap w:val="0"/>
            <w:vAlign w:val="center"/>
          </w:tcPr>
          <w:p w14:paraId="3605F76D">
            <w:pPr>
              <w:widowControl/>
              <w:jc w:val="center"/>
              <w:rPr>
                <w:rFonts w:hAnsi="宋体" w:cs="宋体"/>
                <w:b/>
                <w:bCs/>
                <w:color w:val="auto"/>
                <w:sz w:val="18"/>
                <w:szCs w:val="18"/>
                <w:highlight w:val="none"/>
              </w:rPr>
            </w:pPr>
            <w:r>
              <w:rPr>
                <w:rFonts w:hint="eastAsia" w:hAnsi="宋体" w:cs="宋体"/>
                <w:b/>
                <w:bCs/>
                <w:color w:val="auto"/>
                <w:sz w:val="18"/>
                <w:szCs w:val="18"/>
                <w:highlight w:val="none"/>
              </w:rPr>
              <w:t>5</w:t>
            </w:r>
          </w:p>
        </w:tc>
        <w:tc>
          <w:tcPr>
            <w:tcW w:w="1015" w:type="dxa"/>
            <w:tcBorders>
              <w:top w:val="nil"/>
              <w:left w:val="nil"/>
              <w:bottom w:val="single" w:color="auto" w:sz="4" w:space="0"/>
              <w:right w:val="single" w:color="auto" w:sz="4" w:space="0"/>
            </w:tcBorders>
            <w:noWrap w:val="0"/>
            <w:vAlign w:val="center"/>
          </w:tcPr>
          <w:p w14:paraId="1E31DA5D">
            <w:pPr>
              <w:widowControl/>
              <w:jc w:val="center"/>
              <w:rPr>
                <w:rFonts w:hAnsi="宋体" w:cs="宋体"/>
                <w:b/>
                <w:bCs/>
                <w:color w:val="auto"/>
                <w:sz w:val="18"/>
                <w:szCs w:val="18"/>
                <w:highlight w:val="none"/>
              </w:rPr>
            </w:pPr>
          </w:p>
        </w:tc>
        <w:tc>
          <w:tcPr>
            <w:tcW w:w="1445" w:type="dxa"/>
            <w:tcBorders>
              <w:top w:val="nil"/>
              <w:left w:val="nil"/>
              <w:bottom w:val="single" w:color="auto" w:sz="4" w:space="0"/>
              <w:right w:val="single" w:color="auto" w:sz="4" w:space="0"/>
            </w:tcBorders>
            <w:noWrap w:val="0"/>
            <w:vAlign w:val="center"/>
          </w:tcPr>
          <w:p w14:paraId="3C9AB780">
            <w:pPr>
              <w:widowControl/>
              <w:jc w:val="center"/>
              <w:rPr>
                <w:rFonts w:hAnsi="宋体" w:cs="宋体"/>
                <w:b/>
                <w:bCs/>
                <w:color w:val="auto"/>
                <w:sz w:val="18"/>
                <w:szCs w:val="18"/>
                <w:highlight w:val="none"/>
              </w:rPr>
            </w:pPr>
          </w:p>
        </w:tc>
        <w:tc>
          <w:tcPr>
            <w:tcW w:w="715" w:type="dxa"/>
            <w:tcBorders>
              <w:top w:val="nil"/>
              <w:left w:val="nil"/>
              <w:bottom w:val="single" w:color="auto" w:sz="4" w:space="0"/>
              <w:right w:val="single" w:color="auto" w:sz="4" w:space="0"/>
            </w:tcBorders>
            <w:noWrap w:val="0"/>
            <w:vAlign w:val="center"/>
          </w:tcPr>
          <w:p w14:paraId="2E92096D">
            <w:pPr>
              <w:widowControl/>
              <w:jc w:val="center"/>
              <w:rPr>
                <w:rFonts w:hAnsi="宋体" w:cs="宋体"/>
                <w:b/>
                <w:bCs/>
                <w:color w:val="auto"/>
                <w:sz w:val="18"/>
                <w:szCs w:val="18"/>
                <w:highlight w:val="none"/>
              </w:rPr>
            </w:pPr>
          </w:p>
        </w:tc>
        <w:tc>
          <w:tcPr>
            <w:tcW w:w="1635" w:type="dxa"/>
            <w:tcBorders>
              <w:top w:val="nil"/>
              <w:left w:val="nil"/>
              <w:bottom w:val="single" w:color="auto" w:sz="4" w:space="0"/>
              <w:right w:val="single" w:color="auto" w:sz="4" w:space="0"/>
            </w:tcBorders>
            <w:noWrap w:val="0"/>
            <w:vAlign w:val="center"/>
          </w:tcPr>
          <w:p w14:paraId="509640F3">
            <w:pPr>
              <w:widowControl/>
              <w:jc w:val="center"/>
              <w:rPr>
                <w:rFonts w:hAnsi="宋体" w:cs="宋体"/>
                <w:b/>
                <w:bCs/>
                <w:color w:val="auto"/>
                <w:sz w:val="18"/>
                <w:szCs w:val="18"/>
                <w:highlight w:val="none"/>
              </w:rPr>
            </w:pPr>
          </w:p>
        </w:tc>
        <w:tc>
          <w:tcPr>
            <w:tcW w:w="1125" w:type="dxa"/>
            <w:tcBorders>
              <w:top w:val="nil"/>
              <w:left w:val="nil"/>
              <w:bottom w:val="single" w:color="auto" w:sz="4" w:space="0"/>
              <w:right w:val="single" w:color="auto" w:sz="4" w:space="0"/>
            </w:tcBorders>
            <w:noWrap w:val="0"/>
            <w:vAlign w:val="center"/>
          </w:tcPr>
          <w:p w14:paraId="47149B9F">
            <w:pPr>
              <w:widowControl/>
              <w:jc w:val="center"/>
              <w:rPr>
                <w:rFonts w:hAnsi="宋体" w:cs="宋体"/>
                <w:b/>
                <w:bCs/>
                <w:color w:val="auto"/>
                <w:sz w:val="18"/>
                <w:szCs w:val="18"/>
                <w:highlight w:val="none"/>
              </w:rPr>
            </w:pPr>
          </w:p>
        </w:tc>
        <w:tc>
          <w:tcPr>
            <w:tcW w:w="1318" w:type="dxa"/>
            <w:tcBorders>
              <w:top w:val="nil"/>
              <w:left w:val="nil"/>
              <w:bottom w:val="single" w:color="auto" w:sz="4" w:space="0"/>
              <w:right w:val="single" w:color="auto" w:sz="4" w:space="0"/>
            </w:tcBorders>
            <w:noWrap w:val="0"/>
            <w:vAlign w:val="center"/>
          </w:tcPr>
          <w:p w14:paraId="75A1BC32">
            <w:pPr>
              <w:widowControl/>
              <w:jc w:val="center"/>
              <w:rPr>
                <w:rFonts w:hAnsi="宋体" w:cs="宋体"/>
                <w:b/>
                <w:bCs/>
                <w:color w:val="auto"/>
                <w:sz w:val="18"/>
                <w:szCs w:val="18"/>
                <w:highlight w:val="none"/>
              </w:rPr>
            </w:pPr>
          </w:p>
        </w:tc>
        <w:tc>
          <w:tcPr>
            <w:tcW w:w="645" w:type="dxa"/>
            <w:tcBorders>
              <w:top w:val="single" w:color="auto" w:sz="4" w:space="0"/>
              <w:left w:val="single" w:color="auto" w:sz="4" w:space="0"/>
              <w:bottom w:val="single" w:color="auto" w:sz="4" w:space="0"/>
              <w:right w:val="single" w:color="auto" w:sz="4" w:space="0"/>
            </w:tcBorders>
            <w:noWrap w:val="0"/>
            <w:vAlign w:val="center"/>
          </w:tcPr>
          <w:p w14:paraId="1721E9C6">
            <w:pPr>
              <w:widowControl/>
              <w:jc w:val="center"/>
              <w:rPr>
                <w:rFonts w:hAnsi="宋体" w:cs="宋体"/>
                <w:b/>
                <w:bCs/>
                <w:color w:val="auto"/>
                <w:sz w:val="18"/>
                <w:szCs w:val="18"/>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center"/>
          </w:tcPr>
          <w:p w14:paraId="348FBDB7">
            <w:pPr>
              <w:widowControl/>
              <w:jc w:val="center"/>
              <w:rPr>
                <w:rFonts w:hAnsi="宋体" w:cs="宋体"/>
                <w:b/>
                <w:bCs/>
                <w:color w:val="auto"/>
                <w:sz w:val="18"/>
                <w:szCs w:val="18"/>
                <w:highlight w:val="none"/>
              </w:rPr>
            </w:pPr>
          </w:p>
        </w:tc>
      </w:tr>
    </w:tbl>
    <w:p w14:paraId="483999C3">
      <w:pPr>
        <w:pStyle w:val="2"/>
        <w:spacing w:line="480" w:lineRule="auto"/>
        <w:jc w:val="center"/>
        <w:rPr>
          <w:rFonts w:hint="eastAsia" w:hAnsi="宋体" w:cs="宋体"/>
          <w:b/>
          <w:bCs/>
          <w:color w:val="auto"/>
          <w:sz w:val="28"/>
          <w:szCs w:val="28"/>
          <w:highlight w:val="none"/>
        </w:rPr>
        <w:sectPr>
          <w:pgSz w:w="11906" w:h="16838"/>
          <w:pgMar w:top="1440" w:right="1800" w:bottom="1440" w:left="1800" w:header="851" w:footer="992" w:gutter="0"/>
          <w:cols w:space="425" w:num="1"/>
          <w:docGrid w:type="lines" w:linePitch="312" w:charSpace="0"/>
        </w:sectPr>
      </w:pPr>
      <w:r>
        <w:rPr>
          <w:rFonts w:hint="eastAsia" w:hAnsi="宋体" w:cs="宋体"/>
          <w:b/>
          <w:bCs/>
          <w:color w:val="auto"/>
          <w:sz w:val="28"/>
          <w:szCs w:val="28"/>
          <w:highlight w:val="none"/>
        </w:rPr>
        <w:t>日常使用消耗品（耗材/试剂）是否为专机专用      □ 是  □ 否</w:t>
      </w:r>
    </w:p>
    <w:p w14:paraId="6D8BF1CA">
      <w:pPr>
        <w:pStyle w:val="2"/>
        <w:spacing w:line="480" w:lineRule="auto"/>
        <w:jc w:val="center"/>
        <w:rPr>
          <w:rFonts w:hAnsi="宋体"/>
          <w:bCs/>
          <w:color w:val="auto"/>
          <w:sz w:val="24"/>
          <w:szCs w:val="24"/>
          <w:highlight w:val="none"/>
        </w:rPr>
      </w:pPr>
      <w:bookmarkStart w:id="1" w:name="_GoBack"/>
      <w:bookmarkEnd w:id="1"/>
      <w:r>
        <w:rPr>
          <w:rFonts w:hint="eastAsia"/>
          <w:color w:val="auto"/>
          <w:highlight w:val="none"/>
        </w:rPr>
        <w:t>医疗卫生机构医药产品廉洁购销合同</w:t>
      </w:r>
    </w:p>
    <w:p w14:paraId="79222183">
      <w:pPr>
        <w:spacing w:line="480" w:lineRule="auto"/>
        <w:rPr>
          <w:rFonts w:hAnsi="宋体"/>
          <w:color w:val="auto"/>
          <w:sz w:val="24"/>
          <w:szCs w:val="24"/>
          <w:highlight w:val="none"/>
        </w:rPr>
      </w:pPr>
      <w:r>
        <w:rPr>
          <w:rFonts w:hint="eastAsia" w:hAnsi="宋体"/>
          <w:color w:val="auto"/>
          <w:sz w:val="24"/>
          <w:szCs w:val="24"/>
          <w:highlight w:val="none"/>
        </w:rPr>
        <w:t>甲方（医疗卫生机构）：成都市第五人民医院</w:t>
      </w:r>
    </w:p>
    <w:p w14:paraId="2C3EB8AF">
      <w:pPr>
        <w:spacing w:line="480" w:lineRule="auto"/>
        <w:rPr>
          <w:rFonts w:hint="eastAsia" w:ascii="宋体" w:hAnsi="宋体" w:eastAsia="宋体" w:cs="Times New Roman"/>
          <w:color w:val="auto"/>
          <w:sz w:val="24"/>
          <w:szCs w:val="24"/>
          <w:highlight w:val="none"/>
          <w:lang w:val="en-US" w:eastAsia="zh-CN"/>
        </w:rPr>
      </w:pPr>
      <w:r>
        <w:rPr>
          <w:rFonts w:hint="eastAsia" w:hAnsi="宋体"/>
          <w:color w:val="auto"/>
          <w:sz w:val="24"/>
          <w:szCs w:val="24"/>
          <w:highlight w:val="none"/>
        </w:rPr>
        <w:t>乙方（医药生产经营企业及其代理人）：</w:t>
      </w:r>
    </w:p>
    <w:p w14:paraId="68212A51">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为进一步加强医疗卫生行风建设，规范医疗卫生机构医药购销行为，有效防范商业贿赂行为，营造公平交易、诚实守信的购销环境，经甲、乙双方协商，同意签订本合同，并共同遵守：</w:t>
      </w:r>
    </w:p>
    <w:p w14:paraId="0D3F57A0">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一、甲乙双方按照《</w:t>
      </w:r>
      <w:r>
        <w:rPr>
          <w:rFonts w:hint="eastAsia" w:hAnsi="宋体" w:cs="宋体"/>
          <w:color w:val="auto"/>
          <w:sz w:val="24"/>
          <w:szCs w:val="24"/>
          <w:highlight w:val="none"/>
        </w:rPr>
        <w:t>中华人民共和国民法典</w:t>
      </w:r>
      <w:r>
        <w:rPr>
          <w:rFonts w:hint="eastAsia" w:hAnsi="宋体"/>
          <w:color w:val="auto"/>
          <w:sz w:val="24"/>
          <w:szCs w:val="24"/>
          <w:highlight w:val="none"/>
        </w:rPr>
        <w:t>》及医药产品购销合同约定购销药品、医用设备、医用耗材等医药产品。</w:t>
      </w:r>
    </w:p>
    <w:p w14:paraId="4F42CF37">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二、甲方应当严格执行医药产品购销合同验收、入库制度，对采购医药产品及发票进行查验，不得违反有关规定合同外采购、违价采购或从非规定渠道采购。</w:t>
      </w:r>
    </w:p>
    <w:p w14:paraId="03E8B5A9">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三、甲方严禁接受乙方以任何名义、形式给予的回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14:paraId="44B76AFB">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四、严禁甲方工作人员利用任何途径和方式，为乙方统计医师个人及临床科室有关医药产品用量信息，或为乙方统计提供便利。</w:t>
      </w:r>
    </w:p>
    <w:p w14:paraId="46B4479B">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五、乙方不得以回扣、宴请等方式影响甲方工作人员采购或使用医药产品的选择权，不得在学术活动中提供旅游、超标准支付食宿费用。</w:t>
      </w:r>
    </w:p>
    <w:p w14:paraId="619C7398">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六、乙方指定</w:t>
      </w:r>
      <w:r>
        <w:rPr>
          <w:rFonts w:hint="eastAsia" w:hAnsi="宋体"/>
          <w:color w:val="auto"/>
          <w:sz w:val="24"/>
          <w:szCs w:val="24"/>
          <w:highlight w:val="none"/>
          <w:u w:val="single"/>
        </w:rPr>
        <w:t xml:space="preserve">       </w:t>
      </w:r>
      <w:r>
        <w:rPr>
          <w:rFonts w:hint="eastAsia" w:hAnsi="宋体"/>
          <w:color w:val="auto"/>
          <w:sz w:val="24"/>
          <w:szCs w:val="24"/>
          <w:highlight w:val="none"/>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14:paraId="20FEFFFE">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七、乙方如违反本合同，一经发现，甲方有权终止购销合同，并向有关行政部门报告。如乙方被列入商业贿赂不良记录，则严格按照纪检廉政相关规章制度执行。</w:t>
      </w:r>
    </w:p>
    <w:p w14:paraId="528D7C48">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八、本合同作为医药产品购销合同的重要组成部分，与购销合同一并执行，具有同等的法律效力。</w:t>
      </w:r>
    </w:p>
    <w:p w14:paraId="7DF7961C">
      <w:pPr>
        <w:spacing w:line="480" w:lineRule="auto"/>
        <w:ind w:firstLine="480" w:firstLineChars="200"/>
        <w:rPr>
          <w:rFonts w:hAnsi="宋体"/>
          <w:color w:val="auto"/>
          <w:sz w:val="24"/>
          <w:szCs w:val="24"/>
          <w:highlight w:val="none"/>
        </w:rPr>
      </w:pPr>
      <w:r>
        <w:rPr>
          <w:rFonts w:hint="eastAsia" w:hAnsi="宋体"/>
          <w:color w:val="auto"/>
          <w:sz w:val="24"/>
          <w:szCs w:val="24"/>
          <w:highlight w:val="none"/>
        </w:rPr>
        <w:t>九、本合同一式</w:t>
      </w:r>
      <w:r>
        <w:rPr>
          <w:rFonts w:hint="eastAsia" w:hAnsi="宋体"/>
          <w:color w:val="auto"/>
          <w:sz w:val="24"/>
          <w:szCs w:val="24"/>
          <w:highlight w:val="none"/>
          <w:lang w:val="en-US" w:eastAsia="zh-CN"/>
        </w:rPr>
        <w:t>二</w:t>
      </w:r>
      <w:r>
        <w:rPr>
          <w:rFonts w:hint="eastAsia" w:hAnsi="宋体"/>
          <w:color w:val="auto"/>
          <w:sz w:val="24"/>
          <w:szCs w:val="24"/>
          <w:highlight w:val="none"/>
        </w:rPr>
        <w:t>份</w:t>
      </w:r>
      <w:r>
        <w:rPr>
          <w:rFonts w:hint="eastAsia" w:hAnsi="宋体"/>
          <w:color w:val="auto"/>
          <w:sz w:val="24"/>
          <w:szCs w:val="24"/>
          <w:highlight w:val="none"/>
          <w:lang w:eastAsia="zh-CN"/>
        </w:rPr>
        <w:t>，</w:t>
      </w:r>
      <w:r>
        <w:rPr>
          <w:rFonts w:hint="eastAsia" w:hAnsi="宋体"/>
          <w:color w:val="auto"/>
          <w:sz w:val="24"/>
          <w:szCs w:val="24"/>
          <w:highlight w:val="none"/>
        </w:rPr>
        <w:t>签订之日起生效。</w:t>
      </w:r>
    </w:p>
    <w:p w14:paraId="161359CE">
      <w:pPr>
        <w:spacing w:line="480" w:lineRule="auto"/>
        <w:rPr>
          <w:rFonts w:hAnsi="宋体"/>
          <w:color w:val="auto"/>
          <w:sz w:val="24"/>
          <w:szCs w:val="24"/>
          <w:highlight w:val="none"/>
        </w:rPr>
      </w:pPr>
    </w:p>
    <w:p w14:paraId="791EAAFA">
      <w:pPr>
        <w:spacing w:line="480" w:lineRule="auto"/>
        <w:rPr>
          <w:rFonts w:hAnsi="宋体"/>
          <w:color w:val="auto"/>
          <w:sz w:val="24"/>
          <w:szCs w:val="24"/>
          <w:highlight w:val="none"/>
        </w:rPr>
      </w:pPr>
      <w:r>
        <w:rPr>
          <w:rFonts w:hint="eastAsia" w:hAnsi="宋体"/>
          <w:color w:val="auto"/>
          <w:sz w:val="24"/>
          <w:szCs w:val="24"/>
          <w:highlight w:val="none"/>
        </w:rPr>
        <w:t>甲方（盖章）:                        乙方（盖章）:</w:t>
      </w:r>
    </w:p>
    <w:p w14:paraId="3BFBDE4D">
      <w:pPr>
        <w:spacing w:line="480" w:lineRule="auto"/>
        <w:rPr>
          <w:rFonts w:hAnsi="宋体"/>
          <w:color w:val="auto"/>
          <w:sz w:val="24"/>
          <w:szCs w:val="24"/>
          <w:highlight w:val="none"/>
        </w:rPr>
      </w:pPr>
      <w:r>
        <w:rPr>
          <w:rFonts w:hint="eastAsia" w:hAnsi="宋体"/>
          <w:color w:val="auto"/>
          <w:sz w:val="24"/>
          <w:szCs w:val="24"/>
          <w:highlight w:val="none"/>
        </w:rPr>
        <w:t xml:space="preserve">成都市第五人民医院                   </w:t>
      </w:r>
    </w:p>
    <w:p w14:paraId="75B355D6">
      <w:pPr>
        <w:spacing w:line="480" w:lineRule="auto"/>
        <w:rPr>
          <w:rFonts w:hAnsi="宋体"/>
          <w:color w:val="auto"/>
          <w:sz w:val="24"/>
          <w:szCs w:val="24"/>
          <w:highlight w:val="none"/>
        </w:rPr>
      </w:pPr>
      <w:r>
        <w:rPr>
          <w:rFonts w:hint="eastAsia" w:hAnsi="宋体"/>
          <w:color w:val="auto"/>
          <w:sz w:val="24"/>
          <w:szCs w:val="24"/>
          <w:highlight w:val="none"/>
        </w:rPr>
        <w:t>法定代表人</w:t>
      </w:r>
      <w:r>
        <w:rPr>
          <w:rFonts w:hint="eastAsia" w:hAnsi="宋体"/>
          <w:color w:val="auto"/>
          <w:sz w:val="24"/>
          <w:szCs w:val="24"/>
          <w:highlight w:val="none"/>
          <w:lang w:val="en-US" w:eastAsia="zh-CN"/>
        </w:rPr>
        <w:t>或</w:t>
      </w:r>
      <w:r>
        <w:rPr>
          <w:rFonts w:hint="eastAsia" w:hAnsi="宋体" w:cs="宋体"/>
          <w:color w:val="auto"/>
          <w:sz w:val="24"/>
          <w:szCs w:val="24"/>
          <w:highlight w:val="none"/>
          <w:lang w:val="en-US" w:eastAsia="zh-CN"/>
        </w:rPr>
        <w:t>授权</w:t>
      </w:r>
      <w:r>
        <w:rPr>
          <w:rFonts w:hint="eastAsia" w:hAnsi="宋体" w:cs="宋体"/>
          <w:color w:val="auto"/>
          <w:sz w:val="24"/>
          <w:szCs w:val="24"/>
          <w:highlight w:val="none"/>
        </w:rPr>
        <w:t>代表人</w:t>
      </w:r>
      <w:r>
        <w:rPr>
          <w:rFonts w:hint="eastAsia" w:hAnsi="宋体"/>
          <w:color w:val="auto"/>
          <w:sz w:val="24"/>
          <w:szCs w:val="24"/>
          <w:highlight w:val="none"/>
        </w:rPr>
        <w:t>:</w:t>
      </w:r>
      <w:r>
        <w:rPr>
          <w:rFonts w:hint="eastAsia" w:hAnsi="宋体"/>
          <w:color w:val="auto"/>
          <w:sz w:val="24"/>
          <w:szCs w:val="24"/>
          <w:highlight w:val="none"/>
          <w:lang w:val="en-US" w:eastAsia="zh-CN"/>
        </w:rPr>
        <w:t xml:space="preserve">  </w:t>
      </w:r>
      <w:r>
        <w:rPr>
          <w:rFonts w:hint="eastAsia" w:hAnsi="宋体"/>
          <w:color w:val="auto"/>
          <w:sz w:val="24"/>
          <w:szCs w:val="24"/>
          <w:highlight w:val="none"/>
        </w:rPr>
        <w:t xml:space="preserve">            法定代表人</w:t>
      </w:r>
      <w:r>
        <w:rPr>
          <w:rFonts w:hint="eastAsia" w:hAnsi="宋体"/>
          <w:color w:val="auto"/>
          <w:sz w:val="24"/>
          <w:szCs w:val="24"/>
          <w:highlight w:val="none"/>
          <w:lang w:val="en-US" w:eastAsia="zh-CN"/>
        </w:rPr>
        <w:t>或</w:t>
      </w:r>
      <w:r>
        <w:rPr>
          <w:rFonts w:hint="eastAsia" w:hAnsi="宋体" w:cs="宋体"/>
          <w:color w:val="auto"/>
          <w:sz w:val="24"/>
          <w:szCs w:val="24"/>
          <w:highlight w:val="none"/>
          <w:lang w:val="en-US" w:eastAsia="zh-CN"/>
        </w:rPr>
        <w:t>授权</w:t>
      </w:r>
      <w:r>
        <w:rPr>
          <w:rFonts w:hint="eastAsia" w:hAnsi="宋体" w:cs="宋体"/>
          <w:color w:val="auto"/>
          <w:sz w:val="24"/>
          <w:szCs w:val="24"/>
          <w:highlight w:val="none"/>
        </w:rPr>
        <w:t>代表人</w:t>
      </w:r>
      <w:r>
        <w:rPr>
          <w:rFonts w:hint="eastAsia" w:hAnsi="宋体"/>
          <w:color w:val="auto"/>
          <w:sz w:val="24"/>
          <w:szCs w:val="24"/>
          <w:highlight w:val="none"/>
        </w:rPr>
        <w:t>:</w:t>
      </w:r>
    </w:p>
    <w:p w14:paraId="5B7DF549">
      <w:pPr>
        <w:spacing w:line="480" w:lineRule="auto"/>
        <w:rPr>
          <w:rFonts w:hAnsi="宋体"/>
          <w:color w:val="auto"/>
          <w:sz w:val="24"/>
          <w:szCs w:val="24"/>
          <w:highlight w:val="none"/>
        </w:rPr>
      </w:pPr>
      <w:r>
        <w:rPr>
          <w:rFonts w:hint="eastAsia" w:hAnsi="宋体"/>
          <w:color w:val="auto"/>
          <w:sz w:val="24"/>
          <w:szCs w:val="24"/>
          <w:highlight w:val="none"/>
          <w:lang w:eastAsia="zh-CN"/>
        </w:rPr>
        <w:t>2</w:t>
      </w:r>
      <w:r>
        <w:rPr>
          <w:rFonts w:hint="eastAsia" w:hAnsi="宋体"/>
          <w:color w:val="auto"/>
          <w:sz w:val="24"/>
          <w:szCs w:val="24"/>
          <w:highlight w:val="none"/>
          <w:lang w:val="en-US" w:eastAsia="zh-CN"/>
        </w:rPr>
        <w:t>0</w:t>
      </w:r>
      <w:r>
        <w:rPr>
          <w:rFonts w:hint="eastAsia" w:hAnsi="宋体"/>
          <w:color w:val="auto"/>
          <w:sz w:val="24"/>
          <w:szCs w:val="24"/>
          <w:highlight w:val="none"/>
          <w:lang w:eastAsia="zh-CN"/>
        </w:rPr>
        <w:t>2</w:t>
      </w:r>
      <w:r>
        <w:rPr>
          <w:rFonts w:hint="eastAsia" w:hAnsi="宋体"/>
          <w:color w:val="auto"/>
          <w:sz w:val="24"/>
          <w:szCs w:val="24"/>
          <w:highlight w:val="none"/>
          <w:lang w:val="en-US" w:eastAsia="zh-CN"/>
        </w:rPr>
        <w:t>5</w:t>
      </w:r>
      <w:r>
        <w:rPr>
          <w:rFonts w:hint="eastAsia" w:hAnsi="宋体"/>
          <w:color w:val="auto"/>
          <w:sz w:val="24"/>
          <w:szCs w:val="24"/>
          <w:highlight w:val="none"/>
        </w:rPr>
        <w:t xml:space="preserve">年    月    日                   </w:t>
      </w:r>
      <w:r>
        <w:rPr>
          <w:rFonts w:hint="eastAsia" w:hAnsi="宋体"/>
          <w:color w:val="auto"/>
          <w:sz w:val="24"/>
          <w:szCs w:val="24"/>
          <w:highlight w:val="none"/>
          <w:lang w:eastAsia="zh-CN"/>
        </w:rPr>
        <w:t>2</w:t>
      </w:r>
      <w:r>
        <w:rPr>
          <w:rFonts w:hint="eastAsia" w:hAnsi="宋体"/>
          <w:color w:val="auto"/>
          <w:sz w:val="24"/>
          <w:szCs w:val="24"/>
          <w:highlight w:val="none"/>
          <w:lang w:val="en-US" w:eastAsia="zh-CN"/>
        </w:rPr>
        <w:t>0</w:t>
      </w:r>
      <w:r>
        <w:rPr>
          <w:rFonts w:hint="eastAsia" w:hAnsi="宋体"/>
          <w:color w:val="auto"/>
          <w:sz w:val="24"/>
          <w:szCs w:val="24"/>
          <w:highlight w:val="none"/>
          <w:lang w:eastAsia="zh-CN"/>
        </w:rPr>
        <w:t>2</w:t>
      </w:r>
      <w:r>
        <w:rPr>
          <w:rFonts w:hint="eastAsia" w:hAnsi="宋体"/>
          <w:color w:val="auto"/>
          <w:sz w:val="24"/>
          <w:szCs w:val="24"/>
          <w:highlight w:val="none"/>
          <w:lang w:val="en-US" w:eastAsia="zh-CN"/>
        </w:rPr>
        <w:t>5</w:t>
      </w:r>
      <w:r>
        <w:rPr>
          <w:rFonts w:hint="eastAsia" w:hAnsi="宋体"/>
          <w:color w:val="auto"/>
          <w:sz w:val="24"/>
          <w:szCs w:val="24"/>
          <w:highlight w:val="none"/>
        </w:rPr>
        <w:t>年     月    日</w:t>
      </w:r>
    </w:p>
    <w:p w14:paraId="2876F0A0">
      <w:pPr>
        <w:spacing w:line="480" w:lineRule="auto"/>
        <w:ind w:firstLine="480" w:firstLineChars="200"/>
        <w:rPr>
          <w:color w:val="auto"/>
          <w:highlight w:val="none"/>
        </w:rPr>
      </w:pPr>
      <w:r>
        <w:rPr>
          <w:rFonts w:hint="eastAsia" w:hAnsi="宋体"/>
          <w:b/>
          <w:bCs/>
          <w:color w:val="auto"/>
          <w:sz w:val="24"/>
          <w:szCs w:val="24"/>
          <w:highlight w:val="none"/>
        </w:rPr>
        <w:t>注：其他合同专用条款在合同签定时另行约定。</w:t>
      </w:r>
    </w:p>
    <w:p w14:paraId="0B5FFE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
    <w:altName w:val="仿宋"/>
    <w:panose1 w:val="00000000000000000000"/>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1"/>
      <w:numFmt w:val="none"/>
      <w:lvlText w:val="第一条"/>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5A5EEDB"/>
    <w:multiLevelType w:val="singleLevel"/>
    <w:tmpl w:val="65A5EEDB"/>
    <w:lvl w:ilvl="0" w:tentative="0">
      <w:start w:val="3"/>
      <w:numFmt w:val="chineseCounting"/>
      <w:suff w:val="space"/>
      <w:lvlText w:val="第%1条"/>
      <w:lvlJc w:val="left"/>
    </w:lvl>
  </w:abstractNum>
  <w:abstractNum w:abstractNumId="2">
    <w:nsid w:val="6D83F8D6"/>
    <w:multiLevelType w:val="singleLevel"/>
    <w:tmpl w:val="6D83F8D6"/>
    <w:lvl w:ilvl="0" w:tentative="0">
      <w:start w:val="2"/>
      <w:numFmt w:val="chineseCounting"/>
      <w:suff w:val="nothing"/>
      <w:lvlText w:val="%1、"/>
      <w:lvlJc w:val="left"/>
      <w:pPr>
        <w:ind w:left="632" w:firstLine="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ZmYzNjJiNWZjMmQ3NjAwZjBjNjdjNTJjZjIxNTcifQ=="/>
  </w:docVars>
  <w:rsids>
    <w:rsidRoot w:val="00000000"/>
    <w:rsid w:val="2A403609"/>
    <w:rsid w:val="74B36B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widowControl w:val="0"/>
      <w:kinsoku/>
      <w:autoSpaceDE/>
      <w:autoSpaceDN/>
      <w:adjustRightInd/>
      <w:snapToGrid/>
      <w:spacing w:before="340" w:after="330" w:line="578" w:lineRule="auto"/>
      <w:jc w:val="both"/>
      <w:textAlignment w:val="auto"/>
      <w:outlineLvl w:val="0"/>
    </w:pPr>
    <w:rPr>
      <w:rFonts w:ascii="Times New Roman" w:hAnsi="Times New Roman" w:eastAsia="宋体" w:cs="Times New Roman"/>
      <w:b/>
      <w:bCs/>
      <w:snapToGrid/>
      <w:color w:val="auto"/>
      <w:kern w:val="44"/>
      <w:sz w:val="44"/>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widowControl w:val="0"/>
      <w:kinsoku/>
      <w:autoSpaceDE/>
      <w:autoSpaceDN/>
      <w:adjustRightInd/>
      <w:snapToGrid/>
      <w:spacing w:after="160" w:line="259" w:lineRule="auto"/>
      <w:ind w:firstLine="200" w:firstLineChars="200"/>
      <w:jc w:val="both"/>
      <w:textAlignment w:val="auto"/>
    </w:pPr>
    <w:rPr>
      <w:rFonts w:ascii="Times New Roman" w:hAnsi="Times New Roman" w:eastAsia="宋体" w:cs="Times New Roman"/>
      <w:snapToGrid/>
      <w:color w:val="auto"/>
      <w:kern w:val="2"/>
      <w:szCs w:val="24"/>
    </w:rPr>
  </w:style>
  <w:style w:type="paragraph" w:styleId="4">
    <w:name w:val="Body Text"/>
    <w:basedOn w:val="1"/>
    <w:next w:val="1"/>
    <w:qFormat/>
    <w:uiPriority w:val="0"/>
    <w:pPr>
      <w:spacing w:after="120"/>
    </w:pPr>
  </w:style>
  <w:style w:type="paragraph" w:styleId="5">
    <w:name w:val="Body Text Indent 2"/>
    <w:basedOn w:val="1"/>
    <w:qFormat/>
    <w:uiPriority w:val="0"/>
    <w:pPr>
      <w:spacing w:after="120" w:line="480" w:lineRule="auto"/>
      <w:ind w:left="420" w:leftChars="200"/>
    </w:pPr>
    <w:rPr>
      <w:rFonts w:ascii="Times New Roman" w:hAnsi="Times New Roman"/>
    </w:rPr>
  </w:style>
  <w:style w:type="paragraph" w:styleId="6">
    <w:name w:val="footer"/>
    <w:basedOn w:val="1"/>
    <w:qFormat/>
    <w:uiPriority w:val="99"/>
    <w:pPr>
      <w:tabs>
        <w:tab w:val="center" w:pos="4153"/>
        <w:tab w:val="right" w:pos="8306"/>
      </w:tabs>
    </w:pPr>
    <w:rPr>
      <w:sz w:val="18"/>
    </w:rPr>
  </w:style>
  <w:style w:type="character" w:customStyle="1" w:styleId="9">
    <w:name w:val="font11"/>
    <w:qFormat/>
    <w:uiPriority w:val="0"/>
    <w:rPr>
      <w:rFonts w:hint="eastAsia" w:ascii="宋体" w:hAnsi="宋体" w:eastAsia="宋体" w:cs="宋体"/>
      <w:color w:val="000000"/>
      <w:sz w:val="24"/>
      <w:szCs w:val="24"/>
      <w:u w:val="none"/>
    </w:rPr>
  </w:style>
  <w:style w:type="paragraph" w:customStyle="1" w:styleId="10">
    <w:name w:val="样式 首行缩进:  2 字符"/>
    <w:basedOn w:val="1"/>
    <w:qFormat/>
    <w:uiPriority w:val="0"/>
    <w:pPr>
      <w:widowControl w:val="0"/>
      <w:kinsoku/>
      <w:autoSpaceDE/>
      <w:autoSpaceDN/>
      <w:adjustRightInd/>
      <w:snapToGrid/>
      <w:spacing w:after="160" w:line="400" w:lineRule="exact"/>
      <w:ind w:firstLine="200" w:firstLineChars="200"/>
      <w:jc w:val="both"/>
      <w:textAlignment w:val="auto"/>
    </w:pPr>
    <w:rPr>
      <w:rFonts w:ascii="Times New Roman" w:hAnsi="Times New Roman" w:eastAsia="宋体" w:cs="宋体"/>
      <w:snapToGrid/>
      <w:color w:val="auto"/>
      <w:kern w:val="2"/>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1801</Words>
  <Characters>1836</Characters>
  <Lines>0</Lines>
  <Paragraphs>0</Paragraphs>
  <TotalTime>0</TotalTime>
  <ScaleCrop>false</ScaleCrop>
  <LinksUpToDate>false</LinksUpToDate>
  <CharactersWithSpaces>1941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2024-10-14T11:30:00Z</dcterms:created>
  <dc:creator>Administrator</dc:creator>
  <cp:lastModifiedBy>Samuel Wong</cp:lastModifiedBy>
  <dcterms:modified xsi:type="dcterms:W3CDTF">2025-01-09T01:57:56Z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2594FB15F7234677A6618B03BAB82D87_12</vt:lpwstr>
  </property>
  <property fmtid="{D5CDD505-2E9C-101B-9397-08002B2CF9AE}" pid="4" name="KSOTemplateDocerSaveRecord">
    <vt:lpwstr>eyJoZGlkIjoiOTBlZmYzNjJiNWZjMmQ3NjAwZjBjNjdjNTJjZjIxNTciLCJ1c2VySWQiOiI0OTcxMjA5MjUifQ==</vt:lpwstr>
  </property>
</Properties>
</file>