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版本号：N510683202500001220250320001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中心城区国土空间详细规划修编工作(二次)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N5106832025000012</w:t>
      </w:r>
    </w:p>
    <w:p>
      <w:pPr>
        <w:pStyle w:val="null3"/>
        <w:jc w:val="left"/>
        <w:outlineLvl w:val="2"/>
      </w:pPr>
      <w:r>
        <w:rPr>
          <w:rFonts w:ascii="仿宋_GB2312" w:hAnsi="仿宋_GB2312" w:cs="仿宋_GB2312" w:eastAsia="仿宋_GB2312"/>
          <w:sz w:val="28"/>
          <w:b/>
        </w:rPr>
        <w:t>绵竹市自然资源和规划局</w:t>
      </w:r>
    </w:p>
    <w:p>
      <w:pPr>
        <w:pStyle w:val="null3"/>
        <w:jc w:val="center"/>
        <w:outlineLvl w:val="2"/>
      </w:pPr>
      <w:r>
        <w:rPr>
          <w:rFonts w:ascii="仿宋_GB2312" w:hAnsi="仿宋_GB2312" w:cs="仿宋_GB2312" w:eastAsia="仿宋_GB2312"/>
          <w:sz w:val="28"/>
          <w:b/>
        </w:rPr>
        <w:t>四川中进项目管理有限公司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四川中进项目管理有限公司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绵竹市自然资源和规划局</w:t>
      </w:r>
      <w:r>
        <w:rPr>
          <w:rFonts w:ascii="仿宋_GB2312" w:hAnsi="仿宋_GB2312" w:cs="仿宋_GB2312" w:eastAsia="仿宋_GB2312"/>
        </w:rPr>
        <w:t xml:space="preserve"> 委托，拟对 </w:t>
      </w:r>
      <w:r>
        <w:rPr>
          <w:rFonts w:ascii="仿宋_GB2312" w:hAnsi="仿宋_GB2312" w:cs="仿宋_GB2312" w:eastAsia="仿宋_GB2312"/>
        </w:rPr>
        <w:t>中心城区国土空间详细规划修编工作(二次)</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德阳市绵竹市</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N5106832025000012</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中心城区国土空间详细规划修编工作(二次)</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绵竹市国土空间总体规划（2021—2035年）》已获四川省人民政府批准，根据四川省自然资源厅《关于进一步加强城镇详细规划工作的通知》（川自然资办函〔2024]258号）的要求，为做到总体规划和详细规划的无缝衔接，保障绵竹市国土空间开发建设及时推进，现启动城东片区、工业园区、马尾河片区国土空间详细规划编制工作。其中城东片区编制面积为8.91平方千米，工业园区编制面积为10.96平方千米，马尾河片区编制面积为7.74平方千米。</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1、根据采购项目提出的特殊要求（描述：投标人具有行政主管部门颁发的城乡规划编制乙级及以上资质证书。）</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绵竹市自然资源和规划局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绵竹市南京大道</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朱老师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0838-6903824</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四川中进项目管理有限公司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成都市武侯区二环路南四川51号莱蒙都会1栋608室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曹女士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028-85089235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采购包1：1,830,000.00元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代理服务费收费标准：以预算为基础，参照计价格 ［2002］1980号相关规定下浮6%收取。由中标供应商在领取通知书前向采购代理机构一次性支付代理服务费。</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绵竹市自然资源和规划局</w:t>
      </w:r>
      <w:r>
        <w:rPr>
          <w:rFonts w:ascii="仿宋_GB2312" w:hAnsi="仿宋_GB2312" w:cs="仿宋_GB2312" w:eastAsia="仿宋_GB2312"/>
        </w:rPr>
        <w:t xml:space="preserve"> 和 </w:t>
      </w:r>
      <w:r>
        <w:rPr>
          <w:rFonts w:ascii="仿宋_GB2312" w:hAnsi="仿宋_GB2312" w:cs="仿宋_GB2312" w:eastAsia="仿宋_GB2312"/>
        </w:rPr>
        <w:t>四川中进项目管理有限公司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绵竹市自然资源和规划局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四川中进项目管理有限公司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pPr>
      <w:r>
        <w:rPr>
          <w:rFonts w:ascii="仿宋_GB2312" w:hAnsi="仿宋_GB2312" w:cs="仿宋_GB2312" w:eastAsia="仿宋_GB2312"/>
          <w:b/>
        </w:rPr>
        <w:t>2.5.1.2.开标程序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pPr>
      <w:r>
        <w:rPr>
          <w:rFonts w:ascii="仿宋_GB2312" w:hAnsi="仿宋_GB2312" w:cs="仿宋_GB2312" w:eastAsia="仿宋_GB2312"/>
          <w:b/>
        </w:rPr>
        <w:t>2.5.1.3.解密投标文件★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pPr>
      <w:r>
        <w:rPr>
          <w:rFonts w:ascii="仿宋_GB2312" w:hAnsi="仿宋_GB2312" w:cs="仿宋_GB2312" w:eastAsia="仿宋_GB2312"/>
          <w:b/>
        </w:rPr>
        <w:t>2.5.1.4.有关要求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合同签订，正式方案通过绵竹市专委会审查通过后</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80</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正式成果获绵竹市政府批准并完成入库后</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20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 xml:space="preserve"> 按照本包技术要求、投标人投标文件和合同进行验收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 xml:space="preserve"> 按照本包商务要求、投标人投标文件和合同进行验收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本项目将由采购人与中标人按照采购相关法律法规、《财政部关于进一步加强政府采购需求和履约验收管理的指导意见》（财库〔2016〕205号），并依据本项目招标文件、中标人投标文件、合同及行业相关规定或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履约验收各条款规定有不一致时，按较高标准进行</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绵竹市自然资源和规划局</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四川中进项目管理有限公司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四川中进项目管理有限公司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联系人：朱老师</w:t>
      </w:r>
    </w:p>
    <w:p>
      <w:pPr>
        <w:pStyle w:val="null3"/>
        <w:jc w:val="left"/>
      </w:pPr>
      <w:r>
        <w:rPr>
          <w:rFonts w:ascii="仿宋_GB2312" w:hAnsi="仿宋_GB2312" w:cs="仿宋_GB2312" w:eastAsia="仿宋_GB2312"/>
        </w:rPr>
        <w:t>联系电话：0838-6903824</w:t>
      </w:r>
    </w:p>
    <w:p>
      <w:pPr>
        <w:pStyle w:val="null3"/>
        <w:jc w:val="left"/>
      </w:pPr>
      <w:r>
        <w:rPr>
          <w:rFonts w:ascii="仿宋_GB2312" w:hAnsi="仿宋_GB2312" w:cs="仿宋_GB2312" w:eastAsia="仿宋_GB2312"/>
        </w:rPr>
        <w:t>地址：绵竹市南京大道</w:t>
      </w:r>
    </w:p>
    <w:p>
      <w:pPr>
        <w:pStyle w:val="null3"/>
        <w:jc w:val="left"/>
      </w:pPr>
      <w:r>
        <w:rPr>
          <w:rFonts w:ascii="仿宋_GB2312" w:hAnsi="仿宋_GB2312" w:cs="仿宋_GB2312" w:eastAsia="仿宋_GB2312"/>
        </w:rPr>
        <w:t>邮编：618200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联系人：曹女士</w:t>
      </w:r>
    </w:p>
    <w:p>
      <w:pPr>
        <w:pStyle w:val="null3"/>
        <w:jc w:val="left"/>
      </w:pPr>
      <w:r>
        <w:rPr>
          <w:rFonts w:ascii="仿宋_GB2312" w:hAnsi="仿宋_GB2312" w:cs="仿宋_GB2312" w:eastAsia="仿宋_GB2312"/>
        </w:rPr>
        <w:t>联系电话：028-85089235</w:t>
      </w:r>
    </w:p>
    <w:p>
      <w:pPr>
        <w:pStyle w:val="null3"/>
        <w:jc w:val="left"/>
      </w:pPr>
      <w:r>
        <w:rPr>
          <w:rFonts w:ascii="仿宋_GB2312" w:hAnsi="仿宋_GB2312" w:cs="仿宋_GB2312" w:eastAsia="仿宋_GB2312"/>
        </w:rPr>
        <w:t>地址：成都市武侯区二环路南四川51号莱蒙都会1栋608室</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（三）对中标结果提出质疑的，为中标结果公告期限届满之日。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1,830,000.00</w:t>
      </w:r>
    </w:p>
    <w:p>
      <w:pPr>
        <w:pStyle w:val="null3"/>
        <w:jc w:val="left"/>
      </w:pPr>
      <w:r>
        <w:rPr>
          <w:rFonts w:ascii="仿宋_GB2312" w:hAnsi="仿宋_GB2312" w:cs="仿宋_GB2312" w:eastAsia="仿宋_GB2312"/>
        </w:rPr>
        <w:t>采购包最高限价（元）: 1,830,000.00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C13010000 区域规划和设计服务</w:t>
            </w:r>
          </w:p>
        </w:tc>
        <w:tc>
          <w:tcPr>
            <w:tcW w:type="dxa" w:w="821"/>
          </w:tcPr>
          <w:p>
            <w:pPr>
              <w:pStyle w:val="null3"/>
              <w:jc w:val="left"/>
            </w:pPr>
            <w:r>
              <w:rPr>
                <w:rFonts w:ascii="仿宋_GB2312" w:hAnsi="仿宋_GB2312" w:cs="仿宋_GB2312" w:eastAsia="仿宋_GB2312"/>
              </w:rPr>
              <w:t>马尾河国土空间详细规划修编</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1,830,000.00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马尾河国土空间详细规划修编</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1,830,000.00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中标价为完成本项目的一切费用，包括服务全过程所涉及的设计费、人力费、现场踏勘费、安全责任费、交通费、保险费、后续服务费、税金以及完成本项目服务和其他与本项目有关但不可预见等服务所需的全部费用。</w:t>
            </w:r>
          </w:p>
        </w:tc>
      </w:tr>
    </w:tbl>
    <w:p>
      <w:pPr>
        <w:pStyle w:val="null3"/>
        <w:ind w:firstLine="480"/>
        <w:jc w:val="left"/>
      </w:pPr>
      <w:r>
        <w:rPr>
          <w:rFonts w:ascii="仿宋_GB2312" w:hAnsi="仿宋_GB2312" w:cs="仿宋_GB2312" w:eastAsia="仿宋_GB2312"/>
        </w:rPr>
        <w:t>★注：采购包涉及采购货物的，投标人响应产品应当明确品牌和规格型号并指向唯一产品，不能指向唯一产品的，应通过报价表唯一产品说明栏补充说明。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标的名称：马尾河国土空间详细规划修编</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482"/>
              <w:jc w:val="left"/>
            </w:pPr>
            <w:r>
              <w:rPr>
                <w:rFonts w:ascii="仿宋_GB2312" w:hAnsi="仿宋_GB2312" w:cs="仿宋_GB2312" w:eastAsia="仿宋_GB2312"/>
                <w:sz w:val="24"/>
                <w:b/>
              </w:rPr>
              <w:t>1、</w:t>
            </w:r>
            <w:r>
              <w:rPr>
                <w:rFonts w:ascii="仿宋_GB2312" w:hAnsi="仿宋_GB2312" w:cs="仿宋_GB2312" w:eastAsia="仿宋_GB2312"/>
                <w:sz w:val="24"/>
                <w:b/>
              </w:rPr>
              <w:t>总体要求</w:t>
            </w:r>
          </w:p>
          <w:p>
            <w:pPr>
              <w:pStyle w:val="null3"/>
              <w:ind w:firstLine="480"/>
              <w:jc w:val="left"/>
            </w:pPr>
            <w:r>
              <w:rPr>
                <w:rFonts w:ascii="仿宋_GB2312" w:hAnsi="仿宋_GB2312" w:cs="仿宋_GB2312" w:eastAsia="仿宋_GB2312"/>
                <w:sz w:val="24"/>
              </w:rPr>
              <w:t>根据四川省自然资源厅《四川省城镇详细规划评估办法（试行）》《四川省城镇详细规划编制指南（试行）》等相关技术规范，确定服务内容。</w:t>
            </w:r>
          </w:p>
          <w:p>
            <w:pPr>
              <w:pStyle w:val="null3"/>
              <w:ind w:firstLine="482"/>
              <w:jc w:val="left"/>
            </w:pPr>
            <w:r>
              <w:rPr>
                <w:rFonts w:ascii="仿宋_GB2312" w:hAnsi="仿宋_GB2312" w:cs="仿宋_GB2312" w:eastAsia="仿宋_GB2312"/>
                <w:sz w:val="24"/>
                <w:b/>
              </w:rPr>
              <w:t>2、</w:t>
            </w:r>
            <w:r>
              <w:rPr>
                <w:rFonts w:ascii="仿宋_GB2312" w:hAnsi="仿宋_GB2312" w:cs="仿宋_GB2312" w:eastAsia="仿宋_GB2312"/>
                <w:sz w:val="24"/>
                <w:b/>
              </w:rPr>
              <w:t>技术服务要求</w:t>
            </w:r>
          </w:p>
          <w:p>
            <w:pPr>
              <w:pStyle w:val="null3"/>
              <w:ind w:firstLine="480"/>
              <w:jc w:val="left"/>
            </w:pPr>
            <w:r>
              <w:rPr>
                <w:rFonts w:ascii="仿宋_GB2312" w:hAnsi="仿宋_GB2312" w:cs="仿宋_GB2312" w:eastAsia="仿宋_GB2312"/>
                <w:sz w:val="24"/>
              </w:rPr>
              <w:t>2.1详细规划评估。针对现有详细规划覆盖的区域，按照覆盖性、实施性、符合性和适应性等四个维度，坚持实事求是与科学客观相结合、静态与动态相结合的原则，采取定性和定量相结合的方法，全面总结详细规划各项内容的执行情况。</w:t>
            </w:r>
          </w:p>
          <w:p>
            <w:pPr>
              <w:pStyle w:val="null3"/>
              <w:ind w:firstLine="480"/>
              <w:jc w:val="left"/>
            </w:pPr>
            <w:r>
              <w:rPr>
                <w:rFonts w:ascii="仿宋_GB2312" w:hAnsi="仿宋_GB2312" w:cs="仿宋_GB2312" w:eastAsia="仿宋_GB2312"/>
                <w:sz w:val="24"/>
              </w:rPr>
              <w:t>2.2摸清底图底数。统一采用2000国家大地坐标系和1985国家高程基准的、比例不低于1:2000的地形图，以最新年度国土变更调查、地籍调查、不动产登记等法定数据为基础，形成符合详细规划编制深度要求的土地利用现状数据和工作底图。</w:t>
            </w:r>
          </w:p>
          <w:p>
            <w:pPr>
              <w:pStyle w:val="null3"/>
              <w:ind w:firstLine="480"/>
              <w:jc w:val="left"/>
            </w:pPr>
            <w:r>
              <w:rPr>
                <w:rFonts w:ascii="仿宋_GB2312" w:hAnsi="仿宋_GB2312" w:cs="仿宋_GB2312" w:eastAsia="仿宋_GB2312"/>
                <w:sz w:val="24"/>
              </w:rPr>
              <w:t>2.3分析老城区土地潜力。立足片区老城区特点，以宗地为单位，充分尊重权属单位发展意向和居民意愿，判识现状建设用地的集约节约程度及土地开发潜力，研究各类用地的使用模式和提高土地利用效率的方式方法。</w:t>
            </w:r>
          </w:p>
          <w:p>
            <w:pPr>
              <w:pStyle w:val="null3"/>
              <w:ind w:firstLine="480"/>
              <w:jc w:val="left"/>
            </w:pPr>
            <w:r>
              <w:rPr>
                <w:rFonts w:ascii="仿宋_GB2312" w:hAnsi="仿宋_GB2312" w:cs="仿宋_GB2312" w:eastAsia="仿宋_GB2312"/>
                <w:sz w:val="24"/>
              </w:rPr>
              <w:t>2.4明确老城区土地利用目标策略。依据上位规划确定的相关内容，立足资源资产的权益关系，与用地政策相融合，统筹考虑土地综合开发、存量盘活、低效用地再开发利用、城市更新等实际需求，进一步明确本片区编制思路和目标定位，提出土地利用方式和开发策略。</w:t>
            </w:r>
          </w:p>
          <w:p>
            <w:pPr>
              <w:pStyle w:val="null3"/>
              <w:ind w:firstLine="480"/>
              <w:jc w:val="left"/>
            </w:pPr>
            <w:r>
              <w:rPr>
                <w:rFonts w:ascii="仿宋_GB2312" w:hAnsi="仿宋_GB2312" w:cs="仿宋_GB2312" w:eastAsia="仿宋_GB2312"/>
                <w:sz w:val="24"/>
              </w:rPr>
              <w:t>2.5完善老城区功能结构。在落实上位规划强制性规定的前提下，对片区功能结构进行深化细化，结合社区生活圈建设，明确各重点功能区保护、开发、建设及更新改造的管控引导等要求，突出地域特点和传统特色。</w:t>
            </w:r>
          </w:p>
          <w:p>
            <w:pPr>
              <w:pStyle w:val="null3"/>
              <w:ind w:firstLine="480"/>
              <w:jc w:val="left"/>
            </w:pPr>
            <w:r>
              <w:rPr>
                <w:rFonts w:ascii="仿宋_GB2312" w:hAnsi="仿宋_GB2312" w:cs="仿宋_GB2312" w:eastAsia="仿宋_GB2312"/>
                <w:sz w:val="24"/>
              </w:rPr>
              <w:t>2.6优化老城区用地布局。强化对历史文化资源、地域景观资源的保护和合理利用，科学确定存量空间保留、改造、拆除范围，明确更新范围与更新模式等内容，合理提出各类用地的规模、比例、布局和人均指标。</w:t>
            </w:r>
          </w:p>
          <w:p>
            <w:pPr>
              <w:pStyle w:val="null3"/>
              <w:ind w:firstLine="480"/>
              <w:jc w:val="left"/>
            </w:pPr>
            <w:r>
              <w:rPr>
                <w:rFonts w:ascii="仿宋_GB2312" w:hAnsi="仿宋_GB2312" w:cs="仿宋_GB2312" w:eastAsia="仿宋_GB2312"/>
                <w:sz w:val="24"/>
              </w:rPr>
              <w:t>2.7确定老城区开发强度。分解上层次规划总量及控制指标，确定街区功能及开发建设总量；坚持节约集约、注重存量更新，贯彻职住平衡、紧凑开发、功能复合等理念，集约高效利用老城区空间资源，确定开发强度指标。</w:t>
            </w:r>
          </w:p>
          <w:p>
            <w:pPr>
              <w:pStyle w:val="null3"/>
              <w:ind w:firstLine="480"/>
              <w:jc w:val="left"/>
            </w:pPr>
            <w:r>
              <w:rPr>
                <w:rFonts w:ascii="仿宋_GB2312" w:hAnsi="仿宋_GB2312" w:cs="仿宋_GB2312" w:eastAsia="仿宋_GB2312"/>
                <w:sz w:val="24"/>
              </w:rPr>
              <w:t>2.8提升老城区人居环境品质。落实城市设计要求，确定整体格局、风貌特征和空间景观架构，以低效用地再开发为主，推进老城区环境品质、空间资源和功能设施的持续完善，明确重要节点、廊道界面等空间环境要素的控制原则和建设要求，提出管控和引导要求。</w:t>
            </w:r>
          </w:p>
          <w:p>
            <w:pPr>
              <w:pStyle w:val="null3"/>
              <w:ind w:firstLine="480"/>
              <w:jc w:val="left"/>
            </w:pPr>
            <w:r>
              <w:rPr>
                <w:rFonts w:ascii="仿宋_GB2312" w:hAnsi="仿宋_GB2312" w:cs="仿宋_GB2312" w:eastAsia="仿宋_GB2312"/>
                <w:sz w:val="24"/>
              </w:rPr>
              <w:t>2.9合理组织场地竖向和地下空间。充分尊重老城区现状空间关系及建筑布局，合理确定各地块的室外地坪标高、排水方向和重要控制点标高；全面考虑现有街区和建筑布局，结合老城区对停车设施、基础设施建设和商业拓展等需求，明确各类地下设施的功能、建设控制范围等。</w:t>
            </w:r>
          </w:p>
          <w:p>
            <w:pPr>
              <w:pStyle w:val="null3"/>
              <w:ind w:firstLine="480"/>
              <w:jc w:val="left"/>
            </w:pPr>
            <w:r>
              <w:rPr>
                <w:rFonts w:ascii="仿宋_GB2312" w:hAnsi="仿宋_GB2312" w:cs="仿宋_GB2312" w:eastAsia="仿宋_GB2312"/>
                <w:sz w:val="24"/>
              </w:rPr>
              <w:t>2.10提出实施措施。结合城镇建设发展和管理工作实际，从存量资源整合利用、土地支持、指标平衡等方面提出配套政策和保障措施。制定分期建设要求和近期建设项目库。</w:t>
            </w:r>
          </w:p>
          <w:p>
            <w:pPr>
              <w:pStyle w:val="null3"/>
              <w:ind w:firstLine="480"/>
              <w:jc w:val="left"/>
            </w:pPr>
            <w:r>
              <w:rPr>
                <w:rFonts w:ascii="仿宋_GB2312" w:hAnsi="仿宋_GB2312" w:cs="仿宋_GB2312" w:eastAsia="仿宋_GB2312"/>
                <w:sz w:val="24"/>
              </w:rPr>
              <w:t>2.11详规数据库建设。按照四川省详细规划数据库标准，在成果报批前建立成果数据库，并同步报批，规划批准后，及时将数据矢量成果纳入国土空间基础信息平台和“一张图”实施监督系统。</w:t>
            </w:r>
          </w:p>
          <w:p>
            <w:pPr>
              <w:pStyle w:val="null3"/>
              <w:jc w:val="both"/>
            </w:pPr>
            <w:r>
              <w:rPr>
                <w:rFonts w:ascii="仿宋_GB2312" w:hAnsi="仿宋_GB2312" w:cs="仿宋_GB2312" w:eastAsia="仿宋_GB2312"/>
                <w:sz w:val="28"/>
                <w:b/>
              </w:rPr>
              <w:t>3、成果要求</w:t>
            </w:r>
          </w:p>
          <w:p>
            <w:pPr>
              <w:pStyle w:val="null3"/>
              <w:ind w:firstLine="480"/>
              <w:jc w:val="both"/>
            </w:pPr>
            <w:r>
              <w:rPr>
                <w:rFonts w:ascii="仿宋_GB2312" w:hAnsi="仿宋_GB2312" w:cs="仿宋_GB2312" w:eastAsia="仿宋_GB2312"/>
                <w:sz w:val="24"/>
              </w:rPr>
              <w:t>3.1详细规划评估成果应满足《四川省城镇详细规划评估办法（试行）》的成果要求。包括评估报告和评估数据库。其中，评估报告包括文本和图集。</w:t>
            </w:r>
          </w:p>
          <w:p>
            <w:pPr>
              <w:pStyle w:val="null3"/>
              <w:ind w:firstLine="480"/>
              <w:jc w:val="both"/>
            </w:pPr>
            <w:r>
              <w:rPr>
                <w:rFonts w:ascii="仿宋_GB2312" w:hAnsi="仿宋_GB2312" w:cs="仿宋_GB2312" w:eastAsia="仿宋_GB2312"/>
                <w:sz w:val="24"/>
              </w:rPr>
              <w:t>3.2详细规划成果应满足《四川省城镇详细规划编制指南（试行）》的内容深度要求。包括规划文本、图纸、图则、附件和矢量数据库等。其中，图则包括单元层面图则和实施层面图则；附件包括规划说明、专题研究报告、和其他材料汇编等；详细规划矢量数据库须符合国土空间基础信息平台和“一张图”实施监督系统入库要求。</w:t>
            </w:r>
          </w:p>
          <w:p>
            <w:pPr>
              <w:pStyle w:val="null3"/>
              <w:jc w:val="both"/>
            </w:pPr>
            <w:r>
              <w:rPr>
                <w:rFonts w:ascii="仿宋_GB2312" w:hAnsi="仿宋_GB2312" w:cs="仿宋_GB2312" w:eastAsia="仿宋_GB2312"/>
                <w:sz w:val="24"/>
              </w:rPr>
              <w:t>3.3成果需求的数量：提供的数量及成果形式根据采购人需求进行提供。</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ind w:firstLine="480"/>
              <w:jc w:val="left"/>
            </w:pPr>
            <w:r>
              <w:rPr>
                <w:rFonts w:ascii="仿宋_GB2312" w:hAnsi="仿宋_GB2312" w:cs="仿宋_GB2312" w:eastAsia="仿宋_GB2312"/>
                <w:sz w:val="24"/>
              </w:rPr>
              <w:t>（一）中标价为完成本项目的一切费用，包括服务全过程所涉及的设计费、人力费、现场踏勘费、安全责任费、交通费、保险费、后续服务费、税金以及完成本项目服务和</w:t>
            </w:r>
            <w:r>
              <w:rPr>
                <w:rFonts w:ascii="仿宋_GB2312" w:hAnsi="仿宋_GB2312" w:cs="仿宋_GB2312" w:eastAsia="仿宋_GB2312"/>
                <w:sz w:val="24"/>
              </w:rPr>
              <w:t>其他</w:t>
            </w:r>
            <w:r>
              <w:rPr>
                <w:rFonts w:ascii="仿宋_GB2312" w:hAnsi="仿宋_GB2312" w:cs="仿宋_GB2312" w:eastAsia="仿宋_GB2312"/>
                <w:sz w:val="24"/>
              </w:rPr>
              <w:t>与本项目有关但</w:t>
            </w:r>
            <w:r>
              <w:rPr>
                <w:rFonts w:ascii="仿宋_GB2312" w:hAnsi="仿宋_GB2312" w:cs="仿宋_GB2312" w:eastAsia="仿宋_GB2312"/>
                <w:sz w:val="24"/>
              </w:rPr>
              <w:t>不可预见</w:t>
            </w:r>
            <w:r>
              <w:rPr>
                <w:rFonts w:ascii="仿宋_GB2312" w:hAnsi="仿宋_GB2312" w:cs="仿宋_GB2312" w:eastAsia="仿宋_GB2312"/>
                <w:sz w:val="24"/>
              </w:rPr>
              <w:t>等服务所需的全部费用。</w:t>
            </w:r>
          </w:p>
          <w:p>
            <w:pPr>
              <w:pStyle w:val="null3"/>
              <w:ind w:firstLine="480"/>
              <w:jc w:val="left"/>
            </w:pPr>
            <w:r>
              <w:rPr>
                <w:rFonts w:ascii="仿宋_GB2312" w:hAnsi="仿宋_GB2312" w:cs="仿宋_GB2312" w:eastAsia="仿宋_GB2312"/>
                <w:sz w:val="24"/>
              </w:rPr>
              <w:t>（二）在整个服务期内，采购人有权要求投标人提供与本项目相关的一切资料；有权根据工作需要，要求投标人到实地开展编制工作，不得以任何理由拒绝或拖延。</w:t>
            </w:r>
          </w:p>
          <w:p>
            <w:pPr>
              <w:pStyle w:val="null3"/>
              <w:ind w:firstLine="480"/>
              <w:jc w:val="left"/>
            </w:pPr>
            <w:r>
              <w:rPr>
                <w:rFonts w:ascii="仿宋_GB2312" w:hAnsi="仿宋_GB2312" w:cs="仿宋_GB2312" w:eastAsia="仿宋_GB2312"/>
                <w:sz w:val="24"/>
              </w:rPr>
              <w:t>（三）投标人应服从采购人的统一指挥、调配、指导及管理，遵守采购人各项管理及规则制度，做到文明、安全实施。采购人有权对投标人派出的素质不足的工作及业务人员提出更换，投标人应积极配合，并及时更换</w:t>
            </w:r>
            <w:r>
              <w:rPr>
                <w:rFonts w:ascii="仿宋_GB2312" w:hAnsi="仿宋_GB2312" w:cs="仿宋_GB2312" w:eastAsia="仿宋_GB2312"/>
                <w:sz w:val="24"/>
              </w:rPr>
              <w:t>合适</w:t>
            </w:r>
            <w:r>
              <w:rPr>
                <w:rFonts w:ascii="仿宋_GB2312" w:hAnsi="仿宋_GB2312" w:cs="仿宋_GB2312" w:eastAsia="仿宋_GB2312"/>
                <w:sz w:val="24"/>
              </w:rPr>
              <w:t>人员。投标人在本项目实施过程中的安全责任全部由投标人自行负责，采购人不承担任何责任。</w:t>
            </w:r>
          </w:p>
          <w:p>
            <w:pPr>
              <w:pStyle w:val="null3"/>
              <w:ind w:firstLine="480"/>
              <w:jc w:val="left"/>
            </w:pPr>
            <w:r>
              <w:rPr>
                <w:rFonts w:ascii="仿宋_GB2312" w:hAnsi="仿宋_GB2312" w:cs="仿宋_GB2312" w:eastAsia="仿宋_GB2312"/>
                <w:sz w:val="24"/>
              </w:rPr>
              <w:t>（四）采购人发现问题投标人须及时纠正，对多次发生或较为严重的问题，采购人责令限期整改，限期内未整改或整改不合格的将上报归属部门。</w:t>
            </w:r>
          </w:p>
          <w:p>
            <w:pPr>
              <w:pStyle w:val="null3"/>
              <w:ind w:firstLine="480"/>
              <w:jc w:val="left"/>
            </w:pPr>
            <w:r>
              <w:rPr>
                <w:rFonts w:ascii="仿宋_GB2312" w:hAnsi="仿宋_GB2312" w:cs="仿宋_GB2312" w:eastAsia="仿宋_GB2312"/>
                <w:sz w:val="24"/>
              </w:rPr>
              <w:t>（五）成果归属：采购人享有著作权，项目成果归采购人所有，投标人不得以任何形式将本项目成果或相关信息引用、发表、出版、复制、传播、以及供第三方使用等。确实因学术交流、职称评定等需要而要做发表的必须征得采购人书面授权许可。若因此带来的相关法律经济纠纷与采购人无关，投标人应承担全部法律和经济等相关责任，且采购人有权追究</w:t>
            </w:r>
            <w:r>
              <w:rPr>
                <w:rFonts w:ascii="仿宋_GB2312" w:hAnsi="仿宋_GB2312" w:cs="仿宋_GB2312" w:eastAsia="仿宋_GB2312"/>
                <w:sz w:val="24"/>
              </w:rPr>
              <w:t>中标</w:t>
            </w:r>
            <w:r>
              <w:rPr>
                <w:rFonts w:ascii="仿宋_GB2312" w:hAnsi="仿宋_GB2312" w:cs="仿宋_GB2312" w:eastAsia="仿宋_GB2312"/>
                <w:sz w:val="24"/>
              </w:rPr>
              <w:t>人的违约责任。</w:t>
            </w:r>
          </w:p>
          <w:p>
            <w:pPr>
              <w:pStyle w:val="null3"/>
              <w:ind w:firstLine="480"/>
              <w:jc w:val="left"/>
            </w:pPr>
            <w:r>
              <w:rPr>
                <w:rFonts w:ascii="仿宋_GB2312" w:hAnsi="仿宋_GB2312" w:cs="仿宋_GB2312" w:eastAsia="仿宋_GB2312"/>
                <w:sz w:val="24"/>
              </w:rPr>
              <w:t>（六）保密要求：投标人在项目实施过程中，对采购人提供的所有相关资料、数据，未经采购人书面同意不得向任何第三人泄露，且保密责任不因合同的终止或解除而失效。如采购人提出要求，投标人须无条件与采购人签订保密协议。项目完成后，投标人须将采购人提供的所有资料、数据完整归还采购人，并不得留存任何复制品。</w:t>
            </w:r>
          </w:p>
          <w:p>
            <w:pPr>
              <w:pStyle w:val="null3"/>
              <w:ind w:firstLine="480"/>
              <w:jc w:val="left"/>
            </w:pPr>
            <w:r>
              <w:rPr>
                <w:rFonts w:ascii="仿宋_GB2312" w:hAnsi="仿宋_GB2312" w:cs="仿宋_GB2312" w:eastAsia="仿宋_GB2312"/>
                <w:sz w:val="24"/>
              </w:rPr>
              <w:t>（七）服务过程中的人员安全责任由</w:t>
            </w:r>
            <w:r>
              <w:rPr>
                <w:rFonts w:ascii="仿宋_GB2312" w:hAnsi="仿宋_GB2312" w:cs="仿宋_GB2312" w:eastAsia="仿宋_GB2312"/>
                <w:sz w:val="24"/>
              </w:rPr>
              <w:t>中标</w:t>
            </w:r>
            <w:r>
              <w:rPr>
                <w:rFonts w:ascii="仿宋_GB2312" w:hAnsi="仿宋_GB2312" w:cs="仿宋_GB2312" w:eastAsia="仿宋_GB2312"/>
                <w:sz w:val="24"/>
              </w:rPr>
              <w:t>人自行承担，与采购人无关。</w:t>
            </w:r>
          </w:p>
          <w:p>
            <w:pPr>
              <w:pStyle w:val="null3"/>
              <w:ind w:firstLine="480"/>
              <w:jc w:val="left"/>
            </w:pPr>
            <w:r>
              <w:rPr>
                <w:rFonts w:ascii="仿宋_GB2312" w:hAnsi="仿宋_GB2312" w:cs="仿宋_GB2312" w:eastAsia="仿宋_GB2312"/>
                <w:sz w:val="24"/>
              </w:rPr>
              <w:t>（八）</w:t>
            </w:r>
            <w:r>
              <w:rPr>
                <w:rFonts w:ascii="仿宋_GB2312" w:hAnsi="仿宋_GB2312" w:cs="仿宋_GB2312" w:eastAsia="仿宋_GB2312"/>
                <w:sz w:val="24"/>
              </w:rPr>
              <w:t>若因项目需要，须中标人提供与本项目相关的后续服务</w:t>
            </w:r>
            <w:r>
              <w:rPr>
                <w:rFonts w:ascii="仿宋_GB2312" w:hAnsi="仿宋_GB2312" w:cs="仿宋_GB2312" w:eastAsia="仿宋_GB2312"/>
                <w:sz w:val="24"/>
              </w:rPr>
              <w:t>，以保证项目后期顺利实施。</w:t>
            </w:r>
          </w:p>
          <w:p>
            <w:pPr>
              <w:pStyle w:val="null3"/>
              <w:jc w:val="both"/>
            </w:pPr>
            <w:r>
              <w:rPr>
                <w:rFonts w:ascii="仿宋_GB2312" w:hAnsi="仿宋_GB2312" w:cs="仿宋_GB2312" w:eastAsia="仿宋_GB2312"/>
                <w:sz w:val="24"/>
              </w:rPr>
              <w:t>（九）其他未尽事宜由采购人与中标人在合同中进行约定。</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政府采购合同签订生效之日起180日内完成项目全部工作（如因国家、省、市政策变动或其他不可预见情况，采购人可根据实际情况延长履约时间）。</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绵竹市马尾河片区</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本项目将由采购人与中标人按照采购相关法律法规、《财政部关于进一步加强政府采购需求和履约验收管理的指导意见》（财库〔2016〕205号），并依据本项目招标文件、中标人投标文件、合同及行业相关规定或标准进行验收。</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1、预付款，合同签订，采购人收到中标人开具的等额发票及其他相关支付凭证材料以后，达到付款条件起14日内，支付合同总金额的40.00%</w:t>
            </w:r>
          </w:p>
          <w:p>
            <w:pPr>
              <w:pStyle w:val="null3"/>
              <w:jc w:val="left"/>
            </w:pPr>
            <w:r>
              <w:rPr>
                <w:rFonts w:ascii="仿宋_GB2312" w:hAnsi="仿宋_GB2312" w:cs="仿宋_GB2312" w:eastAsia="仿宋_GB2312"/>
              </w:rPr>
              <w:t>2、正式方案通过绵竹市专委会审查通过后，采购人收到中标人开具的等额发票及其他相关支付凭证材料以后，达到付款条件起14日内，支付合同总金额的40.00%</w:t>
            </w:r>
          </w:p>
          <w:p>
            <w:pPr>
              <w:pStyle w:val="null3"/>
              <w:jc w:val="left"/>
            </w:pPr>
            <w:r>
              <w:rPr>
                <w:rFonts w:ascii="仿宋_GB2312" w:hAnsi="仿宋_GB2312" w:cs="仿宋_GB2312" w:eastAsia="仿宋_GB2312"/>
              </w:rPr>
              <w:t>3、正式成果获绵竹市政府批准并完成入库后，采购人收到中标人开具的等额发票及其他相关支付凭证材料以后，达到付款条件起14日内，支付合同总金额的20.00%</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一、违约责任 （1）投标人必须遵守采购合同并执行合同中的各项规定，保证采购合同的正常履行。 （2）如因投标人工作人员在履行职务过程中的疏忽、失职、过错等故意或者过失原因给采购人造成损失或侵害，包括但不限于采购人本身的财产损失、由此而导致的采购人对任何第三方的法律责任等，投标人对此均应承担全部的赔偿责任。 （3）投标人必须遵守采购合同按时完成合同相关工作，若由于投标人原因导致合同迟延履行，投标人应承担采购合同中约定的违约金。 （4）投标人应当遵守采购人的相关项目需求及相关技术要求及实质性条款，实施完成采购合同应当完全满足相关项目需求及相关技术要求及实质性条款，若投标人瑕疵履行采购合同，造成相关损失的，采购人有权要求投标人承担所有赔偿责任。 二、解决争议的方法 （1）投标人与采购人双方应通过友好协商，解决在执行本项目合同所发生的或与本项目合同有关的一切争议。如协商不能解决争议，任何一方均可将争议提交采购人所在地有管辖权的法院，通过诉讼解决争议。 （2）在诉讼期间，除正在进行诉讼部分外，本项目合同其它部分应继续执行。 （3）违约方应承担守约方因此而产生的一切费用，包括但不限于诉讼费、保全费、律师费、差旅费等。</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一、投标人需具备为本项目服务的履约能力，履约经验能满足为本项目提供服务的需求，同时针对本项目提供以下内容： （一）投标人针对本项目提供服务方案，包括：项目认知（①项目实施背景；②县级国土空间总体规划传导与落实；③专项规划解读；④现有详细规划实施评估；⑤马尾河片区特点分析）、现状分析（①区位条件；②底图底数；③现状调查；④特征与问题总结）、项目定位（①目标定位；②发展愿景；③空间结构；④指标体系）、国土空间布局方案（①底线约束；②用地布局；③风貌管控；④公共服务设施层级及公服圈布局）、支撑保障系统规划（①公共交通场站用地范围及位置；②公共停车设施数量、位置和规模；③加油 （气、氢）站、电动汽车充（换）电站的布局和规模；④供水厂、再生水厂等 设施规模、布局；⑤各类污水处理设施的规模、布局；⑥各类配电设施的规模、布局级各类供气设施的规模、布局；⑦各类信息基础设施的规模、布局；⑧各类环卫设施的规模、布局；⑨防洪、排涝、抗震、消防、人防、应急避难场所等综合防灾设施和物资储备库等重要公共安全设施的规模、布局；⑩交通组织规划）、进度安排及后续服务方案（① 项目进度安排；② 工作组织程序；③ 服务保障措施；④后续服务承诺）。 （二）投标人2021年1月1日（含）至今（以合同签订时间为准）具有类似项目业绩。 （三）投标人需为本项目配备一定的专业技术人员，具有履约能力，具体要求详见本项目综合评分明细表。 二、关于质疑的其他要求： 1、根据《中华人民共和国政府采购法》的规定，供应商质疑不得超出采购文件、采购过程、采购结果的范围。 2、不在法定质疑期内提出的质疑书会被拒收，不符合要求的质疑书在法定质疑期内及时补充完善，否则作质疑不成立处理。 3、质疑应当以书面形式提出，供应商在法定质疑期内一次性提出针对同一采购程序环节的质疑。4、质疑函原件应当采取当面递交方式，如当面递交困难可以选择邮寄的方式送达。以邮寄方式送达的，应在寄出前联系采购人/代理机构，确定收件单位的地址收件人和收件人联系方式，并提供邮寄件的单号和有效查询方式。若因质疑人未提前联系告知邮件单号导致采购人/代理机构未及时收到质疑函的，责任由质疑供应商负责。质疑提出日期应当以邮寄件上的戳记日期之日起计算，质疑收到日期则以收到质疑函原件之日计算。 5、对采购文件提出质疑的应附获取采购文件回执单。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1、投标人需在项目电子化交易系统中按要求填写《投标（响应）函》完成承诺并进行电子签章。 2、①若为企业法人：提供“统一社会信用代码营业执照副本”；未换证的提供“营业执照副本、税务登记证、组织机构代码证”；②若为事业法人：提供“统一社会信用代码法人登记证书”；未换证的提交“事业法人登记证书、组织机构代码证”；③若为其他组织：提供“对应主管部门颁发的准许执业证明文件或营业执照”；④若为自然人：提供“身份证”。⑤非独立法人分支机构参加需提供具有独立法人资格的总公司针对本项目的授权书原件或经总公司出具愿为其参与本项目投标以及履约行为承担民事责任的承诺函，并提供分支机构“统一社会信用代码营业执照副本”；未换证的提供“营业执照、税务登记证、组织机构代码证”。前述资料均提供原件扫描件。注：总公司只能授权其下属的一家分支机构参与投标，且总公司不能与其下属的分支机构同时参与同一项目的投标。</w:t>
            </w:r>
          </w:p>
        </w:tc>
        <w:tc>
          <w:tcPr>
            <w:tcW w:type="dxa" w:w="1910"/>
          </w:tcPr>
          <w:p>
            <w:pPr>
              <w:pStyle w:val="null3"/>
              <w:jc w:val="left"/>
            </w:pPr>
            <w:r>
              <w:rPr>
                <w:rFonts w:ascii="仿宋_GB2312" w:hAnsi="仿宋_GB2312" w:cs="仿宋_GB2312" w:eastAsia="仿宋_GB2312"/>
              </w:rPr>
              <w:t>投标文件封面,投标（响应）函,具有独立承担民事责任能力的证明材料.docx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根据采购项目提出的特殊要求</w:t>
            </w:r>
          </w:p>
        </w:tc>
        <w:tc>
          <w:tcPr>
            <w:tcW w:type="dxa" w:w="3322"/>
          </w:tcPr>
          <w:p>
            <w:pPr>
              <w:pStyle w:val="null3"/>
              <w:jc w:val="left"/>
            </w:pPr>
            <w:r>
              <w:rPr>
                <w:rFonts w:ascii="仿宋_GB2312" w:hAnsi="仿宋_GB2312" w:cs="仿宋_GB2312" w:eastAsia="仿宋_GB2312"/>
              </w:rPr>
              <w:t>投标人具有行政主管部门颁发的城乡规划编制乙级及以上资质证书。</w:t>
            </w:r>
          </w:p>
        </w:tc>
        <w:tc>
          <w:tcPr>
            <w:tcW w:type="dxa" w:w="1910"/>
          </w:tcPr>
          <w:p>
            <w:pPr>
              <w:pStyle w:val="null3"/>
              <w:jc w:val="left"/>
            </w:pPr>
            <w:r>
              <w:rPr>
                <w:rFonts w:ascii="仿宋_GB2312" w:hAnsi="仿宋_GB2312" w:cs="仿宋_GB2312" w:eastAsia="仿宋_GB2312"/>
              </w:rPr>
              <w:t>投标人应提交的相关证明材料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本项目投标人或者其投标文件有下列情形之一的，作为无效投标处理： （一）投标有效期等不符合采购文件的规定，影响评标委员会评判的； （二）投标报价不符合招标文件规定的报价规定的； （三）技术参数与性能指标应答内容没有完全响应采购文件的实质性要求的； （四）采购文件有明确要求，但投标文件未载明或者载明的采购项目履约时间、方式、服务清单与招标文件要求不一致的； （五）满足采购文件要求的其他无效投标情形的。</w:t>
            </w:r>
          </w:p>
        </w:tc>
        <w:tc>
          <w:tcPr>
            <w:tcW w:type="dxa" w:w="3322"/>
          </w:tcPr>
          <w:p>
            <w:pPr>
              <w:pStyle w:val="null3"/>
              <w:jc w:val="left"/>
            </w:pPr>
            <w:r>
              <w:rPr>
                <w:rFonts w:ascii="仿宋_GB2312" w:hAnsi="仿宋_GB2312" w:cs="仿宋_GB2312" w:eastAsia="仿宋_GB2312"/>
              </w:rPr>
              <w:t>本项目投标人或者其投标文件有下列情形之一的，作为无效投标处理： （一）投标有效期等不符合采购文件的规定，影响评标委员会评判的； （二）投标报价不符合招标文件规定的报价规定的； （三）技术参数与性能指标应答内容没有完全响应采购文件的实质性要求的； （四）采购文件有明确要求，但投标文件未载明或者载明的采购项目履约时间、方式、服务清单与招标文件要求不一致的； （五）满足采购文件要求的其他无效投标情形的。</w:t>
            </w:r>
          </w:p>
        </w:tc>
        <w:tc>
          <w:tcPr>
            <w:tcW w:type="dxa" w:w="1910"/>
          </w:tcPr>
          <w:p>
            <w:pPr>
              <w:pStyle w:val="null3"/>
              <w:jc w:val="left"/>
            </w:pPr>
            <w:r>
              <w:rPr>
                <w:rFonts w:ascii="仿宋_GB2312" w:hAnsi="仿宋_GB2312" w:cs="仿宋_GB2312" w:eastAsia="仿宋_GB2312"/>
              </w:rPr>
              <w:t>报价一览表,投标人应提交的相关证明材料,报价明细表,技术、服务应答表.docx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因平台局限性，对于本招标文件第二章标注“实质性要求”但未标明或未明确如何响应的，可不提供具体证明材料或单独响应，投标人无须进行逐一响应。评标委员会不能因 投标人未响应而将投标文件作无效处理。</w:t>
            </w:r>
          </w:p>
        </w:tc>
        <w:tc>
          <w:tcPr>
            <w:tcW w:type="dxa" w:w="3322"/>
          </w:tcPr>
          <w:p>
            <w:pPr>
              <w:pStyle w:val="null3"/>
              <w:jc w:val="left"/>
            </w:pPr>
            <w:r>
              <w:rPr>
                <w:rFonts w:ascii="仿宋_GB2312" w:hAnsi="仿宋_GB2312" w:cs="仿宋_GB2312" w:eastAsia="仿宋_GB2312"/>
              </w:rPr>
              <w:t>因平台局限性，对于本招标文件第二章标注“实质性要求”但未标明或未明确如何响应的，可不提供具体证明材料或单独响应，投标人无须进行逐一响应。评标委员会不能因投标人未响应而将投标文件作无效处理。</w:t>
            </w:r>
          </w:p>
        </w:tc>
        <w:tc>
          <w:tcPr>
            <w:tcW w:type="dxa" w:w="1910"/>
          </w:tcPr>
          <w:p>
            <w:pPr>
              <w:pStyle w:val="null3"/>
              <w:jc w:val="left"/>
            </w:pPr>
            <w:r>
              <w:rPr>
                <w:rFonts w:ascii="仿宋_GB2312" w:hAnsi="仿宋_GB2312" w:cs="仿宋_GB2312" w:eastAsia="仿宋_GB2312"/>
              </w:rPr>
              <w:t>投标文件封面</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5.3.4.解释、澄清、说明的有关问题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5.4.1.评标方法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一）根据投标人针对本项目提供的项目认知（包括：①项目实施背景；②县级国土空间总体规划传导与落实；③专项规划解读；④现有详细规划实施评估；⑤马尾河片区特点分析）进行评审。每项2分，共10分。每缺少一项扣2分，扣完为止。方案内容有缺陷的，一处扣1分，扣完为止。不提供此方案不得分。[缺陷是指：项目信息错误或内容与本项目需求无关或方案内容前后矛盾或方案内容表述前后不一致或方案内容仅有框架或标题或适用的标准(方法)错误] （二）根据投标人针对本项目提供的现状分析（包括：①区位条件；②底图底数；③现状调查；④特征与问题总结）进行评审。每项2分，共8分。每缺少一项扣2分，扣完为止。方案内容有缺陷的，一处扣1分，扣完为止。不提供此方案不得分。[缺陷是指：项目信息错误或内容与本项目需求无关或方案内容前后矛盾或方案内容表述前后不一致或方案内容仅有框架或标题或适用的标准(方法)错误] （三）根据投标人针对本项目提供的项目定位（包括：①目标定位；②发展愿景；③空间结构；④指标体系）进行评审。每项1分，共4分。每缺少一项扣1分，扣完为止。方案内容有缺陷的，一处扣0.5分，扣完为止。不提供此方案不得分。[缺陷是指：项目信息错误或内容与本项目需求无关或方案内容前后矛盾或方案内容表述前后不一致或方案内容仅有框架或标题或适用的标准(方法)错误] （四）根据投标人针对本项目提供的国土空间布局方案（包括：①底线约束；②用地布局；③风貌管控；④公共服务设施层级及公服圈布局）进行评审。每项1.5分，共6分。每缺少一项扣1.5分，扣完为止。方案内容有缺陷的，一处扣0.75分，扣完为止。不提供此方案不得分。[缺陷是指：项目信息错误或内容与本项目需求无关或方案内容前后矛盾或方案内容表述前后不一致或方案内容仅有框架或标题或适用的标准(方法)错误] （五）根据投标人针对本项目提供的支撑保障系统规划[包括：①公共交通场站用地范围及位置；②公共停车设施数量、位置和规模；③加油 （气、氢）站、电动汽车充（换）电站的布局和规模；④供水厂、再生水厂等 设施规模、布局；⑤各类污水处 理设施的规模、布局；⑥各类配电设施的规模、布局及各类供气设施的规模、布局；⑦各类信息基础设施的规模、布局；⑧各类环卫设施的规模、布局；⑨防洪、排涝、抗震、消防、人防、应急避难场所等综合防灾设施和物资储备库等重要公共安全设施的规模、布局；⑩交通组织规划]进行评审。每项2分，共20分。每缺少一项扣2分，扣完为止。方案内容有缺陷的，一处扣1分，扣完为止。不提供此方案不得分。[缺陷是指：项目信息错误或内容与本项目需求无关或方案内容前后矛盾或方案内容表述前后不一致或方案内容仅有框架或标题或适用的标准(方法)错误] 根据投标人针对本项目提供的进度安排及后续服务方案（包括：① 项目进度安排；② 工作组织程序；③ 服务保障措施；④后续服务承诺）进行评审。每项1分，共4分。每缺少一项扣1分，扣完为止。方案内容有缺陷的，一处扣0.5分，扣完为止。不提供此方案不得分。[缺陷是指：项目信息错误或内容与本项目需求无关或方案内容前后矛盾或方案内容表述前后不一致或方案内容仅有框架或标题或适用的标准(方法)错误]</w:t>
            </w:r>
          </w:p>
        </w:tc>
        <w:tc>
          <w:tcPr>
            <w:tcW w:type="dxa" w:w="831"/>
          </w:tcPr>
          <w:p>
            <w:pPr>
              <w:pStyle w:val="null3"/>
              <w:jc w:val="center"/>
            </w:pPr>
            <w:r>
              <w:rPr>
                <w:rFonts w:ascii="仿宋_GB2312" w:hAnsi="仿宋_GB2312" w:cs="仿宋_GB2312" w:eastAsia="仿宋_GB2312"/>
              </w:rPr>
              <w:t>52.0000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方案.docx</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投标人针对本项目配备的项目负责人（1人）:具有（城市、城乡、国土空间）规划专业高级技术职称和注册城市(城乡)规划师资格证书的得2分；具有（城市、城乡、国土空间）规划专业正高级技术职称和注册城市(城乡)规划师资格证书的得6分。本项满分得6分。 2.投标人针对本项目配备的技术负责人（1人）:具有（城市、城乡、国土空间）规划专业高级技术职称和注册城市(城乡)规划师资格证书的得2分；具有（城市、城乡、国土空间）规划专业正高级技术职称和注册城市(城乡)规划师资格证书的得6分。本项满分得6分。 3.投标人针对本项目配备的其他人员： （1）规划专业（4人）：每有1名具有城乡（城市）规划专业中级职称证书得0.5分，每有1名具有城乡（城市）规划专业高级及以上职称证书的得1分。最多得4分。同时具有注册城市(城乡)规划师资格证书的加1分，最多加4分。本小项满分8分。 （2）国土空间规划专业（5人）：每有1名具有国土空间规划中级职称证书得0.5分，每有1名具有国土空间规划高级及以上职称证书的得1分。最多得5分。同时具有注册城市(城乡)规划师资格证书的加1分，最多加5分。本小项满分10分。 （3）拟投入项目组成员配备园林景观设计类、给水排水类、道路桥梁设计类、地理信息类、自然资源类5类专业中级及以上技术职称，每有一类专业人员的得1.2分，本小项满分6分。 注:以上人员一人一证，人员不重复计分，须提供有效的人员相应证书及人员本单位人员的在职证明材料，均提供复印件并加盖投标人公章；注册人员需注册在投标人本单位，不提供或不满足要求不得分。</w:t>
            </w:r>
          </w:p>
        </w:tc>
        <w:tc>
          <w:tcPr>
            <w:tcW w:type="dxa" w:w="831"/>
          </w:tcPr>
          <w:p>
            <w:pPr>
              <w:pStyle w:val="null3"/>
              <w:jc w:val="center"/>
            </w:pPr>
            <w:r>
              <w:rPr>
                <w:rFonts w:ascii="仿宋_GB2312" w:hAnsi="仿宋_GB2312" w:cs="仿宋_GB2312" w:eastAsia="仿宋_GB2312"/>
              </w:rPr>
              <w:t>36.0000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投标人本项目管理、服务人员情况表.docx</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投标人2021年1月1日（含）至今（以合同签订时间为准）具有1个类似项目业绩的得0.5分；本项满分2分。 注：须提供中标（成交）通知书或合同（协议）复印件并加盖投标人公章。类似项目业绩是指城市或城乡过国土空间规划类项目，不提供或不满足的不得分。</w:t>
            </w:r>
          </w:p>
        </w:tc>
        <w:tc>
          <w:tcPr>
            <w:tcW w:type="dxa" w:w="831"/>
          </w:tcPr>
          <w:p>
            <w:pPr>
              <w:pStyle w:val="null3"/>
              <w:jc w:val="center"/>
            </w:pPr>
            <w:r>
              <w:rPr>
                <w:rFonts w:ascii="仿宋_GB2312" w:hAnsi="仿宋_GB2312" w:cs="仿宋_GB2312" w:eastAsia="仿宋_GB2312"/>
              </w:rPr>
              <w:t>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类似项目业绩一览表.docx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报价</w:t>
            </w:r>
          </w:p>
        </w:tc>
        <w:tc>
          <w:tcPr>
            <w:tcW w:type="dxa" w:w="2575"/>
          </w:tcPr>
          <w:p>
            <w:pPr>
              <w:pStyle w:val="null3"/>
              <w:jc w:val="left"/>
            </w:pPr>
            <w:r>
              <w:rPr>
                <w:rFonts w:ascii="仿宋_GB2312" w:hAnsi="仿宋_GB2312" w:cs="仿宋_GB2312" w:eastAsia="仿宋_GB2312"/>
              </w:rPr>
              <w:t>以满足招标文件要求且投标价格最低的投标报价作为评标基准价，其价格分为满分。其他投标人的价格分别按照下列公式计算：投标报价得分=(评标基准价／投标报价)×10%×100。</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报价明细表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报价一览表,中小企业声明函,残疾人福利性单位声明函,监狱企业的证明文件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详见附件：方案.docx</w:t>
      </w:r>
    </w:p>
    <w:p>
      <w:pPr>
        <w:pStyle w:val="null3"/>
        <w:ind w:firstLine="960"/>
        <w:jc w:val="left"/>
      </w:pPr>
      <w:r>
        <w:rPr>
          <w:rFonts w:ascii="仿宋_GB2312" w:hAnsi="仿宋_GB2312" w:cs="仿宋_GB2312" w:eastAsia="仿宋_GB2312"/>
        </w:rPr>
        <w:t>详见附件：技术、服务应答表.docx</w:t>
      </w:r>
    </w:p>
    <w:p>
      <w:pPr>
        <w:pStyle w:val="null3"/>
        <w:ind w:firstLine="960"/>
        <w:jc w:val="left"/>
      </w:pPr>
      <w:r>
        <w:rPr>
          <w:rFonts w:ascii="仿宋_GB2312" w:hAnsi="仿宋_GB2312" w:cs="仿宋_GB2312" w:eastAsia="仿宋_GB2312"/>
        </w:rPr>
        <w:t>详见附件：具有独立承担民事责任能力的证明材料.docx</w:t>
      </w:r>
    </w:p>
    <w:p>
      <w:pPr>
        <w:pStyle w:val="null3"/>
        <w:ind w:firstLine="960"/>
        <w:jc w:val="left"/>
      </w:pPr>
      <w:r>
        <w:rPr>
          <w:rFonts w:ascii="仿宋_GB2312" w:hAnsi="仿宋_GB2312" w:cs="仿宋_GB2312" w:eastAsia="仿宋_GB2312"/>
        </w:rPr>
        <w:t>详见附件：类似项目业绩一览表.docx</w:t>
      </w:r>
    </w:p>
    <w:p>
      <w:pPr>
        <w:pStyle w:val="null3"/>
        <w:ind w:firstLine="960"/>
        <w:jc w:val="left"/>
      </w:pPr>
      <w:r>
        <w:rPr>
          <w:rFonts w:ascii="仿宋_GB2312" w:hAnsi="仿宋_GB2312" w:cs="仿宋_GB2312" w:eastAsia="仿宋_GB2312"/>
        </w:rPr>
        <w:t>详见附件：投标人本项目管理、服务人员情况表.docx</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详见附件：合同.docx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