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版本号：N510725202500003020250314001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2025年林业有害生物春季防治项目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N5107252025000030</w:t>
      </w:r>
    </w:p>
    <w:p>
      <w:pPr>
        <w:pStyle w:val="null3"/>
        <w:jc w:val="left"/>
        <w:outlineLvl w:val="2"/>
      </w:pPr>
      <w:r>
        <w:rPr>
          <w:rFonts w:ascii="仿宋_GB2312" w:hAnsi="仿宋_GB2312" w:cs="仿宋_GB2312" w:eastAsia="仿宋_GB2312"/>
          <w:sz w:val="28"/>
          <w:b/>
        </w:rPr>
        <w:t>梓潼县自然资源局</w:t>
      </w:r>
    </w:p>
    <w:p>
      <w:pPr>
        <w:pStyle w:val="null3"/>
        <w:jc w:val="center"/>
        <w:outlineLvl w:val="2"/>
      </w:pPr>
      <w:r>
        <w:rPr>
          <w:rFonts w:ascii="仿宋_GB2312" w:hAnsi="仿宋_GB2312" w:cs="仿宋_GB2312" w:eastAsia="仿宋_GB2312"/>
          <w:sz w:val="28"/>
          <w:b/>
        </w:rPr>
        <w:t>四川中昕工程项目管理有限公司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四川中昕工程项目管理有限公司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梓潼县自然资源局</w:t>
      </w:r>
      <w:r>
        <w:rPr>
          <w:rFonts w:ascii="仿宋_GB2312" w:hAnsi="仿宋_GB2312" w:cs="仿宋_GB2312" w:eastAsia="仿宋_GB2312"/>
        </w:rPr>
        <w:t xml:space="preserve"> 委托，拟对 </w:t>
      </w:r>
      <w:r>
        <w:rPr>
          <w:rFonts w:ascii="仿宋_GB2312" w:hAnsi="仿宋_GB2312" w:cs="仿宋_GB2312" w:eastAsia="仿宋_GB2312"/>
        </w:rPr>
        <w:t>2025年林业有害生物春季防治项目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绵阳市梓潼县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N5107252025000030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2025年林业有害生物春季防治项目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2025 年春季我省蜀柏毒蛾、云南松毛虫等一些主要林业有害生物仍处高发态势，并将会在部分区域造成严重危害，为做好防灾减灾工作，避免林业有害生物对森林资源造成大面积灾害，现开展林业有害生物春季防治工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1、1若响应产品属于农药产品，须符合《农药管理规定》规定： 1.1供应商为代理商的，需具有有效的《农药经营许可证》；且提供响应农药产品制造厂商具备的有效资质证明材料（农药生产许可证、农药标准证、农药登记证）； 1.2供应商为制造厂商的须提供有效的资质证明材料（农药生产许可证、农药标准证、农药登记证）。（描述：1若响应产品属于农药产品，须符合《农药管理规定》规定： 1.1供应商为代理商的，需具有有效的《农药经营许可证》（扫描件）；且提供响应农药产品制造厂商具备的有效资质证明材料（农药生产许可证、农药标准证、农药登记证）（扫描件）； 1.2供应商为制造厂商的须提供有效的资质证明材料（农药生产许可证、农药标准证、农药登记证）。（扫描件） ）</w:t>
      </w:r>
    </w:p>
    <w:p>
      <w:pPr>
        <w:pStyle w:val="null3"/>
        <w:jc w:val="left"/>
      </w:pPr>
      <w:r>
        <w:rPr>
          <w:rFonts w:ascii="仿宋_GB2312" w:hAnsi="仿宋_GB2312" w:cs="仿宋_GB2312" w:eastAsia="仿宋_GB2312"/>
        </w:rPr>
        <w:t>2、2.1供应商具有中国民航经营许可证。 2.2供应商具有中国民航局运行合格证（具备“农林喷洒作业飞行”资质）。（描述：2.1供应商具有中国民航经营许可证。（扫描件） 2.2供应商具有中国民航局运行合格证（具备“农林喷洒作业飞行”资质）。（扫描件））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梓潼县自然资源局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文昌镇翠云街中段61号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622150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0816-8216808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四川中昕工程项目管理有限公司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成都市高新区天府三街69号新希望国际B栋11层1110号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雷文仙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18200379864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代理服务费收费标准：采购代理服务收费采用差额定率累进计费方式。收费参照计价格[2002]1980号《政府采购代理服务收费管理暂行办法》执行。</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梓潼县自然资源局</w:t>
      </w:r>
      <w:r>
        <w:rPr>
          <w:rFonts w:ascii="仿宋_GB2312" w:hAnsi="仿宋_GB2312" w:cs="仿宋_GB2312" w:eastAsia="仿宋_GB2312"/>
        </w:rPr>
        <w:t xml:space="preserve"> 和 </w:t>
      </w:r>
      <w:r>
        <w:rPr>
          <w:rFonts w:ascii="仿宋_GB2312" w:hAnsi="仿宋_GB2312" w:cs="仿宋_GB2312" w:eastAsia="仿宋_GB2312"/>
        </w:rPr>
        <w:t>四川中昕工程项目管理有限公司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梓潼县自然资源局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四川中昕工程项目管理有限公司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按照竞争性磋商的质量要求和技术指标、中标人/成交人的响应文件及承诺与合同约定标准进行验收。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按照竞争性磋商商务要求及供应商响应商务要求内容进行验收。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本项目采购人将按照政府采购相关法律法规、《财政部关于进一步加强政府采购需求和履约验收管理的指导意见》（财库〔2016〕205号）以及《政府采购需求管理办法》（财库〔2021〕22号）的要求进行验收。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双方如对质量要求和技术指标的约定标准有相互抵触或异议的事项，由采购人在竞争性磋商和响应文件中按质量要求和技术指标比较优胜的原则确定该项的约定标准进行验收。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梓潼县自然资源局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四川中昕工程项目管理有限公司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四川中昕工程项目管理有限公司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联系人：雷文仙</w:t>
      </w:r>
    </w:p>
    <w:p>
      <w:pPr>
        <w:pStyle w:val="null3"/>
        <w:jc w:val="left"/>
      </w:pPr>
      <w:r>
        <w:rPr>
          <w:rFonts w:ascii="仿宋_GB2312" w:hAnsi="仿宋_GB2312" w:cs="仿宋_GB2312" w:eastAsia="仿宋_GB2312"/>
        </w:rPr>
        <w:t>联系电话：18200379864</w:t>
      </w:r>
    </w:p>
    <w:p>
      <w:pPr>
        <w:pStyle w:val="null3"/>
        <w:jc w:val="left"/>
      </w:pPr>
      <w:r>
        <w:rPr>
          <w:rFonts w:ascii="仿宋_GB2312" w:hAnsi="仿宋_GB2312" w:cs="仿宋_GB2312" w:eastAsia="仿宋_GB2312"/>
        </w:rPr>
        <w:t>地址：成都市高新区天府三街69号新希望国际B栋11层1110号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C09020400 林业有害生物防治服务</w:t>
            </w:r>
          </w:p>
        </w:tc>
        <w:tc>
          <w:tcPr>
            <w:tcW w:type="dxa" w:w="821"/>
          </w:tcPr>
          <w:p>
            <w:pPr>
              <w:pStyle w:val="null3"/>
              <w:jc w:val="left"/>
            </w:pPr>
            <w:r>
              <w:rPr>
                <w:rFonts w:ascii="仿宋_GB2312" w:hAnsi="仿宋_GB2312" w:cs="仿宋_GB2312" w:eastAsia="仿宋_GB2312"/>
              </w:rPr>
              <w:t>2025年林业有害生物春季防治项目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550,000.00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2025年林业有害生物春季防治项目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标的名称：2025年林业有害生物春季防治项目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spacing w:after="120"/>
              <w:ind w:firstLine="560"/>
              <w:jc w:val="both"/>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467"/>
              <w:gridCol w:w="664"/>
              <w:gridCol w:w="916"/>
              <w:gridCol w:w="3028"/>
              <w:gridCol w:w="1177"/>
              <w:gridCol w:w="718"/>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5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c>
                <w:tcPr>
                  <w:tcW w:type="dxa" w:w="3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5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防治服务</w:t>
                  </w:r>
                </w:p>
              </w:tc>
              <w:tc>
                <w:tcPr>
                  <w:tcW w:type="dxa" w:w="3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防治工具</w:t>
                  </w:r>
                  <w:r>
                    <w:rPr>
                      <w:rFonts w:ascii="仿宋_GB2312" w:hAnsi="仿宋_GB2312" w:cs="仿宋_GB2312" w:eastAsia="仿宋_GB2312"/>
                      <w:sz w:val="24"/>
                    </w:rPr>
                    <w:t>：</w:t>
                  </w:r>
                  <w:r>
                    <w:rPr>
                      <w:rFonts w:ascii="仿宋_GB2312" w:hAnsi="仿宋_GB2312" w:cs="仿宋_GB2312" w:eastAsia="仿宋_GB2312"/>
                      <w:sz w:val="24"/>
                    </w:rPr>
                    <w:t>直升机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、单机载药量：</w:t>
                  </w:r>
                  <w:r>
                    <w:rPr>
                      <w:rFonts w:ascii="仿宋_GB2312" w:hAnsi="仿宋_GB2312" w:cs="仿宋_GB2312" w:eastAsia="仿宋_GB2312"/>
                      <w:sz w:val="24"/>
                    </w:rPr>
                    <w:t>≥</w:t>
                  </w:r>
                  <w:r>
                    <w:rPr>
                      <w:rFonts w:ascii="仿宋_GB2312" w:hAnsi="仿宋_GB2312" w:cs="仿宋_GB2312" w:eastAsia="仿宋_GB2312"/>
                      <w:sz w:val="24"/>
                    </w:rPr>
                    <w:t>700kg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、作业航速：</w:t>
                  </w:r>
                  <w:r>
                    <w:rPr>
                      <w:rFonts w:ascii="仿宋_GB2312" w:hAnsi="仿宋_GB2312" w:cs="仿宋_GB2312" w:eastAsia="仿宋_GB2312"/>
                      <w:sz w:val="24"/>
                    </w:rPr>
                    <w:t>≤135km／h；</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、喷幅：</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、喷洒技术要求：低量或超低量；</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飞行高度</w:t>
                  </w:r>
                  <w:r>
                    <w:rPr>
                      <w:rFonts w:ascii="仿宋_GB2312" w:hAnsi="仿宋_GB2312" w:cs="仿宋_GB2312" w:eastAsia="仿宋_GB2312"/>
                      <w:sz w:val="24"/>
                    </w:rPr>
                    <w:t>：</w:t>
                  </w:r>
                  <w:r>
                    <w:rPr>
                      <w:rFonts w:ascii="仿宋_GB2312" w:hAnsi="仿宋_GB2312" w:cs="仿宋_GB2312" w:eastAsia="仿宋_GB2312"/>
                      <w:sz w:val="24"/>
                    </w:rPr>
                    <w:t>距离树冠</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0m；</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50000亩</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6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防治药品</w:t>
                  </w:r>
                  <w:r>
                    <w:rPr>
                      <w:rFonts w:ascii="仿宋_GB2312" w:hAnsi="仿宋_GB2312" w:cs="仿宋_GB2312" w:eastAsia="仿宋_GB2312"/>
                      <w:sz w:val="24"/>
                    </w:rPr>
                    <w:t>3选1（选择其中任意一种药品进行服务即可）</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3.6%烟碱.苦参碱</w:t>
                  </w:r>
                </w:p>
              </w:tc>
              <w:tc>
                <w:tcPr>
                  <w:tcW w:type="dxa" w:w="3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1、剂型：微囊悬浮剂；</w:t>
                  </w:r>
                </w:p>
                <w:p>
                  <w:pPr>
                    <w:pStyle w:val="null3"/>
                    <w:jc w:val="both"/>
                  </w:pPr>
                  <w:r>
                    <w:rPr>
                      <w:rFonts w:ascii="仿宋_GB2312" w:hAnsi="仿宋_GB2312" w:cs="仿宋_GB2312" w:eastAsia="仿宋_GB2312"/>
                      <w:sz w:val="24"/>
                    </w:rPr>
                    <w:t>2、烟碱含量：</w:t>
                  </w:r>
                  <w:r>
                    <w:rPr>
                      <w:rFonts w:ascii="仿宋_GB2312" w:hAnsi="仿宋_GB2312" w:cs="仿宋_GB2312" w:eastAsia="仿宋_GB2312"/>
                      <w:sz w:val="24"/>
                    </w:rPr>
                    <w:t>≥</w:t>
                  </w:r>
                  <w:r>
                    <w:rPr>
                      <w:rFonts w:ascii="仿宋_GB2312" w:hAnsi="仿宋_GB2312" w:cs="仿宋_GB2312" w:eastAsia="仿宋_GB2312"/>
                      <w:sz w:val="24"/>
                    </w:rPr>
                    <w:t>3.0%；</w:t>
                  </w:r>
                </w:p>
                <w:p>
                  <w:pPr>
                    <w:pStyle w:val="null3"/>
                    <w:jc w:val="both"/>
                  </w:pPr>
                  <w:r>
                    <w:rPr>
                      <w:rFonts w:ascii="仿宋_GB2312" w:hAnsi="仿宋_GB2312" w:cs="仿宋_GB2312" w:eastAsia="仿宋_GB2312"/>
                      <w:sz w:val="24"/>
                    </w:rPr>
                    <w:t>3、苦参碱含量：</w:t>
                  </w:r>
                  <w:r>
                    <w:rPr>
                      <w:rFonts w:ascii="仿宋_GB2312" w:hAnsi="仿宋_GB2312" w:cs="仿宋_GB2312" w:eastAsia="仿宋_GB2312"/>
                      <w:sz w:val="24"/>
                    </w:rPr>
                    <w:t>≥</w:t>
                  </w:r>
                  <w:r>
                    <w:rPr>
                      <w:rFonts w:ascii="仿宋_GB2312" w:hAnsi="仿宋_GB2312" w:cs="仿宋_GB2312" w:eastAsia="仿宋_GB2312"/>
                      <w:sz w:val="24"/>
                    </w:rPr>
                    <w:t>0.6%；</w:t>
                  </w:r>
                </w:p>
                <w:p>
                  <w:pPr>
                    <w:pStyle w:val="null3"/>
                    <w:jc w:val="both"/>
                  </w:pPr>
                  <w:r>
                    <w:rPr>
                      <w:rFonts w:ascii="仿宋_GB2312" w:hAnsi="仿宋_GB2312" w:cs="仿宋_GB2312" w:eastAsia="仿宋_GB2312"/>
                      <w:sz w:val="24"/>
                    </w:rPr>
                    <w:t>4、PH值范围：6.0-8.5；</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参数</w:t>
                  </w:r>
                  <w:r>
                    <w:rPr>
                      <w:rFonts w:ascii="仿宋_GB2312" w:hAnsi="仿宋_GB2312" w:cs="仿宋_GB2312" w:eastAsia="仿宋_GB2312"/>
                      <w:sz w:val="24"/>
                    </w:rPr>
                    <w:t>2</w:t>
                  </w:r>
                  <w:r>
                    <w:rPr>
                      <w:rFonts w:ascii="仿宋_GB2312" w:hAnsi="仿宋_GB2312" w:cs="仿宋_GB2312" w:eastAsia="仿宋_GB2312"/>
                      <w:sz w:val="24"/>
                    </w:rPr>
                    <w:t>至</w:t>
                  </w:r>
                  <w:r>
                    <w:rPr>
                      <w:rFonts w:ascii="仿宋_GB2312" w:hAnsi="仿宋_GB2312" w:cs="仿宋_GB2312" w:eastAsia="仿宋_GB2312"/>
                      <w:sz w:val="24"/>
                    </w:rPr>
                    <w:t>4</w:t>
                  </w:r>
                  <w:r>
                    <w:rPr>
                      <w:rFonts w:ascii="仿宋_GB2312" w:hAnsi="仿宋_GB2312" w:cs="仿宋_GB2312" w:eastAsia="仿宋_GB2312"/>
                      <w:sz w:val="24"/>
                    </w:rPr>
                    <w:t>提供第三方检测机构出具《产品质量检验</w:t>
                  </w:r>
                  <w:r>
                    <w:rPr>
                      <w:rFonts w:ascii="仿宋_GB2312" w:hAnsi="仿宋_GB2312" w:cs="仿宋_GB2312" w:eastAsia="仿宋_GB2312"/>
                      <w:sz w:val="24"/>
                    </w:rPr>
                    <w:t>(测)报告》</w:t>
                  </w:r>
                  <w:r>
                    <w:rPr>
                      <w:rFonts w:ascii="仿宋_GB2312" w:hAnsi="仿宋_GB2312" w:cs="仿宋_GB2312" w:eastAsia="仿宋_GB2312"/>
                      <w:sz w:val="24"/>
                    </w:rPr>
                    <w:t>（</w:t>
                  </w:r>
                  <w:r>
                    <w:rPr>
                      <w:rFonts w:ascii="仿宋_GB2312" w:hAnsi="仿宋_GB2312" w:cs="仿宋_GB2312" w:eastAsia="仿宋_GB2312"/>
                      <w:sz w:val="24"/>
                    </w:rPr>
                    <w:t>复印</w:t>
                  </w:r>
                  <w:r>
                    <w:rPr>
                      <w:rFonts w:ascii="仿宋_GB2312" w:hAnsi="仿宋_GB2312" w:cs="仿宋_GB2312" w:eastAsia="仿宋_GB2312"/>
                      <w:sz w:val="24"/>
                    </w:rPr>
                    <w:t>）</w:t>
                  </w:r>
                  <w:r>
                    <w:rPr>
                      <w:rFonts w:ascii="仿宋_GB2312" w:hAnsi="仿宋_GB2312" w:cs="仿宋_GB2312" w:eastAsia="仿宋_GB2312"/>
                      <w:sz w:val="24"/>
                    </w:rPr>
                    <w:t>件进行佐证并加盖供应商公章</w:t>
                  </w:r>
                  <w:r>
                    <w:rPr>
                      <w:rFonts w:ascii="仿宋_GB2312" w:hAnsi="仿宋_GB2312" w:cs="仿宋_GB2312" w:eastAsia="仿宋_GB2312"/>
                      <w:sz w:val="24"/>
                    </w:rPr>
                    <w:t>（未提供视为负偏离）</w:t>
                  </w:r>
                  <w:r>
                    <w:rPr>
                      <w:rFonts w:ascii="仿宋_GB2312" w:hAnsi="仿宋_GB2312" w:cs="仿宋_GB2312" w:eastAsia="仿宋_GB2312"/>
                      <w:sz w:val="24"/>
                    </w:rPr>
                    <w:t>。</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35g/亩</w:t>
                  </w:r>
                </w:p>
              </w:tc>
              <w:tc>
                <w:tcPr>
                  <w:tcW w:type="dxa" w:w="7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7"/>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1.2%烟碱·苦参碱</w:t>
                  </w:r>
                </w:p>
              </w:tc>
              <w:tc>
                <w:tcPr>
                  <w:tcW w:type="dxa" w:w="3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1、剂型：乳油；</w:t>
                  </w:r>
                </w:p>
                <w:p>
                  <w:pPr>
                    <w:pStyle w:val="null3"/>
                    <w:jc w:val="both"/>
                  </w:pPr>
                  <w:r>
                    <w:rPr>
                      <w:rFonts w:ascii="仿宋_GB2312" w:hAnsi="仿宋_GB2312" w:cs="仿宋_GB2312" w:eastAsia="仿宋_GB2312"/>
                      <w:sz w:val="24"/>
                    </w:rPr>
                    <w:t>2、烟碱含量：</w:t>
                  </w:r>
                  <w:r>
                    <w:rPr>
                      <w:rFonts w:ascii="仿宋_GB2312" w:hAnsi="仿宋_GB2312" w:cs="仿宋_GB2312" w:eastAsia="仿宋_GB2312"/>
                      <w:sz w:val="24"/>
                    </w:rPr>
                    <w:t>≥</w:t>
                  </w:r>
                  <w:r>
                    <w:rPr>
                      <w:rFonts w:ascii="仿宋_GB2312" w:hAnsi="仿宋_GB2312" w:cs="仿宋_GB2312" w:eastAsia="仿宋_GB2312"/>
                      <w:sz w:val="24"/>
                    </w:rPr>
                    <w:t>0.7%；</w:t>
                  </w:r>
                </w:p>
                <w:p>
                  <w:pPr>
                    <w:pStyle w:val="null3"/>
                    <w:jc w:val="both"/>
                  </w:pPr>
                  <w:r>
                    <w:rPr>
                      <w:rFonts w:ascii="仿宋_GB2312" w:hAnsi="仿宋_GB2312" w:cs="仿宋_GB2312" w:eastAsia="仿宋_GB2312"/>
                      <w:sz w:val="24"/>
                    </w:rPr>
                    <w:t>3、苦参碱含量：</w:t>
                  </w:r>
                  <w:r>
                    <w:rPr>
                      <w:rFonts w:ascii="仿宋_GB2312" w:hAnsi="仿宋_GB2312" w:cs="仿宋_GB2312" w:eastAsia="仿宋_GB2312"/>
                      <w:sz w:val="24"/>
                    </w:rPr>
                    <w:t>≥</w:t>
                  </w:r>
                  <w:r>
                    <w:rPr>
                      <w:rFonts w:ascii="仿宋_GB2312" w:hAnsi="仿宋_GB2312" w:cs="仿宋_GB2312" w:eastAsia="仿宋_GB2312"/>
                      <w:sz w:val="24"/>
                    </w:rPr>
                    <w:t>0.5%；</w:t>
                  </w:r>
                </w:p>
                <w:p>
                  <w:pPr>
                    <w:pStyle w:val="null3"/>
                    <w:jc w:val="both"/>
                  </w:pPr>
                  <w:r>
                    <w:rPr>
                      <w:rFonts w:ascii="仿宋_GB2312" w:hAnsi="仿宋_GB2312" w:cs="仿宋_GB2312" w:eastAsia="仿宋_GB2312"/>
                      <w:sz w:val="24"/>
                    </w:rPr>
                    <w:t>4、PH值范围：6.0-9.0；</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参数</w:t>
                  </w:r>
                  <w:r>
                    <w:rPr>
                      <w:rFonts w:ascii="仿宋_GB2312" w:hAnsi="仿宋_GB2312" w:cs="仿宋_GB2312" w:eastAsia="仿宋_GB2312"/>
                      <w:sz w:val="24"/>
                    </w:rPr>
                    <w:t>2</w:t>
                  </w:r>
                  <w:r>
                    <w:rPr>
                      <w:rFonts w:ascii="仿宋_GB2312" w:hAnsi="仿宋_GB2312" w:cs="仿宋_GB2312" w:eastAsia="仿宋_GB2312"/>
                      <w:sz w:val="24"/>
                    </w:rPr>
                    <w:t>至</w:t>
                  </w:r>
                  <w:r>
                    <w:rPr>
                      <w:rFonts w:ascii="仿宋_GB2312" w:hAnsi="仿宋_GB2312" w:cs="仿宋_GB2312" w:eastAsia="仿宋_GB2312"/>
                      <w:sz w:val="24"/>
                    </w:rPr>
                    <w:t>4</w:t>
                  </w:r>
                  <w:r>
                    <w:rPr>
                      <w:rFonts w:ascii="仿宋_GB2312" w:hAnsi="仿宋_GB2312" w:cs="仿宋_GB2312" w:eastAsia="仿宋_GB2312"/>
                      <w:sz w:val="24"/>
                    </w:rPr>
                    <w:t>提供第三方检测机构出具《产品质量检验</w:t>
                  </w:r>
                  <w:r>
                    <w:rPr>
                      <w:rFonts w:ascii="仿宋_GB2312" w:hAnsi="仿宋_GB2312" w:cs="仿宋_GB2312" w:eastAsia="仿宋_GB2312"/>
                      <w:sz w:val="24"/>
                    </w:rPr>
                    <w:t>(测)报告》</w:t>
                  </w:r>
                  <w:r>
                    <w:rPr>
                      <w:rFonts w:ascii="仿宋_GB2312" w:hAnsi="仿宋_GB2312" w:cs="仿宋_GB2312" w:eastAsia="仿宋_GB2312"/>
                      <w:sz w:val="24"/>
                    </w:rPr>
                    <w:t>（</w:t>
                  </w:r>
                  <w:r>
                    <w:rPr>
                      <w:rFonts w:ascii="仿宋_GB2312" w:hAnsi="仿宋_GB2312" w:cs="仿宋_GB2312" w:eastAsia="仿宋_GB2312"/>
                      <w:sz w:val="24"/>
                    </w:rPr>
                    <w:t>复印件</w:t>
                  </w:r>
                  <w:r>
                    <w:rPr>
                      <w:rFonts w:ascii="仿宋_GB2312" w:hAnsi="仿宋_GB2312" w:cs="仿宋_GB2312" w:eastAsia="仿宋_GB2312"/>
                      <w:sz w:val="24"/>
                    </w:rPr>
                    <w:t>）</w:t>
                  </w:r>
                  <w:r>
                    <w:rPr>
                      <w:rFonts w:ascii="仿宋_GB2312" w:hAnsi="仿宋_GB2312" w:cs="仿宋_GB2312" w:eastAsia="仿宋_GB2312"/>
                      <w:sz w:val="24"/>
                    </w:rPr>
                    <w:t>进行佐证并加盖供应商公章</w:t>
                  </w:r>
                  <w:r>
                    <w:rPr>
                      <w:rFonts w:ascii="仿宋_GB2312" w:hAnsi="仿宋_GB2312" w:cs="仿宋_GB2312" w:eastAsia="仿宋_GB2312"/>
                      <w:sz w:val="24"/>
                    </w:rPr>
                    <w:t>（未提供视为负偏离）</w:t>
                  </w:r>
                  <w:r>
                    <w:rPr>
                      <w:rFonts w:ascii="仿宋_GB2312" w:hAnsi="仿宋_GB2312" w:cs="仿宋_GB2312" w:eastAsia="仿宋_GB2312"/>
                      <w:sz w:val="24"/>
                    </w:rPr>
                    <w:t>。</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35ml/亩</w:t>
                  </w:r>
                </w:p>
              </w:tc>
              <w:tc>
                <w:tcPr>
                  <w:tcW w:type="dxa" w:w="718"/>
                  <w:vMerge/>
                  <w:tcBorders>
                    <w:top w:val="single" w:color="000000" w:sz="4"/>
                    <w:left w:val="single" w:color="000000" w:sz="4"/>
                    <w:bottom w:val="single" w:color="000000" w:sz="4"/>
                    <w:right w:val="single" w:color="000000" w:sz="4"/>
                  </w:tcBorders>
                </w:tcPr>
                <w:p/>
              </w:tc>
            </w:tr>
            <w:tr>
              <w:tc>
                <w:tcPr>
                  <w:tcW w:type="dxa" w:w="467"/>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0.5%虫菊・苦参碱</w:t>
                  </w:r>
                </w:p>
              </w:tc>
              <w:tc>
                <w:tcPr>
                  <w:tcW w:type="dxa" w:w="3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1、剂型：可溶液剂</w:t>
                  </w:r>
                </w:p>
                <w:p>
                  <w:pPr>
                    <w:pStyle w:val="null3"/>
                    <w:jc w:val="both"/>
                  </w:pPr>
                  <w:r>
                    <w:rPr>
                      <w:rFonts w:ascii="仿宋_GB2312" w:hAnsi="仿宋_GB2312" w:cs="仿宋_GB2312" w:eastAsia="仿宋_GB2312"/>
                      <w:sz w:val="24"/>
                    </w:rPr>
                    <w:t>2、除虫菊素质量分数：</w:t>
                  </w:r>
                  <w:r>
                    <w:rPr>
                      <w:rFonts w:ascii="仿宋_GB2312" w:hAnsi="仿宋_GB2312" w:cs="仿宋_GB2312" w:eastAsia="仿宋_GB2312"/>
                      <w:sz w:val="24"/>
                    </w:rPr>
                    <w:t>≥</w:t>
                  </w:r>
                  <w:r>
                    <w:rPr>
                      <w:rFonts w:ascii="仿宋_GB2312" w:hAnsi="仿宋_GB2312" w:cs="仿宋_GB2312" w:eastAsia="仿宋_GB2312"/>
                      <w:sz w:val="24"/>
                    </w:rPr>
                    <w:t>0.2%；</w:t>
                  </w:r>
                </w:p>
                <w:p>
                  <w:pPr>
                    <w:pStyle w:val="null3"/>
                    <w:jc w:val="both"/>
                  </w:pPr>
                  <w:r>
                    <w:rPr>
                      <w:rFonts w:ascii="仿宋_GB2312" w:hAnsi="仿宋_GB2312" w:cs="仿宋_GB2312" w:eastAsia="仿宋_GB2312"/>
                      <w:sz w:val="24"/>
                    </w:rPr>
                    <w:t>3、苦参碱质量分数：</w:t>
                  </w:r>
                  <w:r>
                    <w:rPr>
                      <w:rFonts w:ascii="仿宋_GB2312" w:hAnsi="仿宋_GB2312" w:cs="仿宋_GB2312" w:eastAsia="仿宋_GB2312"/>
                      <w:sz w:val="24"/>
                    </w:rPr>
                    <w:t>≥</w:t>
                  </w:r>
                  <w:r>
                    <w:rPr>
                      <w:rFonts w:ascii="仿宋_GB2312" w:hAnsi="仿宋_GB2312" w:cs="仿宋_GB2312" w:eastAsia="仿宋_GB2312"/>
                      <w:sz w:val="24"/>
                    </w:rPr>
                    <w:t>0.3%；</w:t>
                  </w:r>
                </w:p>
                <w:p>
                  <w:pPr>
                    <w:pStyle w:val="null3"/>
                    <w:jc w:val="both"/>
                  </w:pPr>
                  <w:r>
                    <w:rPr>
                      <w:rFonts w:ascii="仿宋_GB2312" w:hAnsi="仿宋_GB2312" w:cs="仿宋_GB2312" w:eastAsia="仿宋_GB2312"/>
                      <w:sz w:val="24"/>
                    </w:rPr>
                    <w:t>4、PH值范围：6.0-9.0；</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参数</w:t>
                  </w:r>
                  <w:r>
                    <w:rPr>
                      <w:rFonts w:ascii="仿宋_GB2312" w:hAnsi="仿宋_GB2312" w:cs="仿宋_GB2312" w:eastAsia="仿宋_GB2312"/>
                      <w:sz w:val="24"/>
                    </w:rPr>
                    <w:t>2</w:t>
                  </w:r>
                  <w:r>
                    <w:rPr>
                      <w:rFonts w:ascii="仿宋_GB2312" w:hAnsi="仿宋_GB2312" w:cs="仿宋_GB2312" w:eastAsia="仿宋_GB2312"/>
                      <w:sz w:val="24"/>
                    </w:rPr>
                    <w:t>至</w:t>
                  </w:r>
                  <w:r>
                    <w:rPr>
                      <w:rFonts w:ascii="仿宋_GB2312" w:hAnsi="仿宋_GB2312" w:cs="仿宋_GB2312" w:eastAsia="仿宋_GB2312"/>
                      <w:sz w:val="24"/>
                    </w:rPr>
                    <w:t>4</w:t>
                  </w:r>
                  <w:r>
                    <w:rPr>
                      <w:rFonts w:ascii="仿宋_GB2312" w:hAnsi="仿宋_GB2312" w:cs="仿宋_GB2312" w:eastAsia="仿宋_GB2312"/>
                      <w:sz w:val="24"/>
                    </w:rPr>
                    <w:t>提供第三方检测机构出具《产品质量检验</w:t>
                  </w:r>
                  <w:r>
                    <w:rPr>
                      <w:rFonts w:ascii="仿宋_GB2312" w:hAnsi="仿宋_GB2312" w:cs="仿宋_GB2312" w:eastAsia="仿宋_GB2312"/>
                      <w:sz w:val="24"/>
                    </w:rPr>
                    <w:t>(测)报告》</w:t>
                  </w:r>
                  <w:r>
                    <w:rPr>
                      <w:rFonts w:ascii="仿宋_GB2312" w:hAnsi="仿宋_GB2312" w:cs="仿宋_GB2312" w:eastAsia="仿宋_GB2312"/>
                      <w:sz w:val="24"/>
                    </w:rPr>
                    <w:t>（</w:t>
                  </w:r>
                  <w:r>
                    <w:rPr>
                      <w:rFonts w:ascii="仿宋_GB2312" w:hAnsi="仿宋_GB2312" w:cs="仿宋_GB2312" w:eastAsia="仿宋_GB2312"/>
                      <w:sz w:val="24"/>
                    </w:rPr>
                    <w:t>复印件</w:t>
                  </w:r>
                  <w:r>
                    <w:rPr>
                      <w:rFonts w:ascii="仿宋_GB2312" w:hAnsi="仿宋_GB2312" w:cs="仿宋_GB2312" w:eastAsia="仿宋_GB2312"/>
                      <w:sz w:val="24"/>
                    </w:rPr>
                    <w:t>）</w:t>
                  </w:r>
                  <w:r>
                    <w:rPr>
                      <w:rFonts w:ascii="仿宋_GB2312" w:hAnsi="仿宋_GB2312" w:cs="仿宋_GB2312" w:eastAsia="仿宋_GB2312"/>
                      <w:sz w:val="24"/>
                    </w:rPr>
                    <w:t>进行佐证并加盖供应商公章</w:t>
                  </w:r>
                  <w:r>
                    <w:rPr>
                      <w:rFonts w:ascii="仿宋_GB2312" w:hAnsi="仿宋_GB2312" w:cs="仿宋_GB2312" w:eastAsia="仿宋_GB2312"/>
                      <w:sz w:val="24"/>
                    </w:rPr>
                    <w:t>（未提供视为负偏离）</w:t>
                  </w:r>
                  <w:r>
                    <w:rPr>
                      <w:rFonts w:ascii="仿宋_GB2312" w:hAnsi="仿宋_GB2312" w:cs="仿宋_GB2312" w:eastAsia="仿宋_GB2312"/>
                      <w:sz w:val="24"/>
                    </w:rPr>
                    <w:t>。</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w:t>
                  </w:r>
                  <w:r>
                    <w:rPr>
                      <w:rFonts w:ascii="仿宋_GB2312" w:hAnsi="仿宋_GB2312" w:cs="仿宋_GB2312" w:eastAsia="仿宋_GB2312"/>
                      <w:sz w:val="24"/>
                    </w:rPr>
                    <w:t>ml</w:t>
                  </w:r>
                  <w:r>
                    <w:rPr>
                      <w:rFonts w:ascii="仿宋_GB2312" w:hAnsi="仿宋_GB2312" w:cs="仿宋_GB2312" w:eastAsia="仿宋_GB2312"/>
                      <w:sz w:val="24"/>
                    </w:rPr>
                    <w:t>/亩</w:t>
                  </w:r>
                </w:p>
              </w:tc>
              <w:tc>
                <w:tcPr>
                  <w:tcW w:type="dxa" w:w="718"/>
                  <w:vMerge/>
                  <w:tcBorders>
                    <w:top w:val="singl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完成</w:t>
            </w:r>
            <w:r>
              <w:rPr>
                <w:rFonts w:ascii="仿宋_GB2312" w:hAnsi="仿宋_GB2312" w:cs="仿宋_GB2312" w:eastAsia="仿宋_GB2312"/>
                <w:sz w:val="21"/>
              </w:rPr>
              <w:t>农喷西部战区空军参谋部航空管制</w:t>
            </w:r>
            <w:r>
              <w:rPr>
                <w:rFonts w:ascii="仿宋_GB2312" w:hAnsi="仿宋_GB2312" w:cs="仿宋_GB2312" w:eastAsia="仿宋_GB2312"/>
                <w:sz w:val="21"/>
              </w:rPr>
              <w:t>报批手续，在最佳防治期前</w:t>
            </w:r>
            <w:r>
              <w:rPr>
                <w:rFonts w:ascii="仿宋_GB2312" w:hAnsi="仿宋_GB2312" w:cs="仿宋_GB2312" w:eastAsia="仿宋_GB2312"/>
                <w:sz w:val="21"/>
              </w:rPr>
              <w:t>3</w:t>
            </w:r>
            <w:r>
              <w:rPr>
                <w:rFonts w:ascii="仿宋_GB2312" w:hAnsi="仿宋_GB2312" w:cs="仿宋_GB2312" w:eastAsia="仿宋_GB2312"/>
                <w:sz w:val="21"/>
              </w:rPr>
              <w:t>天将飞机调拨到位</w:t>
            </w:r>
            <w:r>
              <w:rPr>
                <w:rFonts w:ascii="仿宋_GB2312" w:hAnsi="仿宋_GB2312" w:cs="仿宋_GB2312" w:eastAsia="仿宋_GB2312"/>
                <w:sz w:val="21"/>
              </w:rPr>
              <w:t>（提供承诺函，格式自拟）</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2、</w:t>
            </w:r>
            <w:r>
              <w:rPr>
                <w:rFonts w:ascii="仿宋_GB2312" w:hAnsi="仿宋_GB2312" w:cs="仿宋_GB2312" w:eastAsia="仿宋_GB2312"/>
                <w:sz w:val="21"/>
              </w:rPr>
              <w:t>根据设计和防治效果检查，对飞行作业出现的的漏防区或防治效果未达到要求的地块，及时进行飞行作业补防</w:t>
            </w:r>
            <w:r>
              <w:rPr>
                <w:rFonts w:ascii="仿宋_GB2312" w:hAnsi="仿宋_GB2312" w:cs="仿宋_GB2312" w:eastAsia="仿宋_GB2312"/>
                <w:sz w:val="21"/>
              </w:rPr>
              <w:t>含药（</w:t>
            </w:r>
            <w:r>
              <w:rPr>
                <w:rFonts w:ascii="仿宋_GB2312" w:hAnsi="仿宋_GB2312" w:cs="仿宋_GB2312" w:eastAsia="仿宋_GB2312"/>
                <w:sz w:val="21"/>
              </w:rPr>
              <w:t>提供承诺函，格式自拟</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3、农喷防治</w:t>
            </w:r>
            <w:r>
              <w:rPr>
                <w:rFonts w:ascii="仿宋_GB2312" w:hAnsi="仿宋_GB2312" w:cs="仿宋_GB2312" w:eastAsia="仿宋_GB2312"/>
                <w:sz w:val="21"/>
              </w:rPr>
              <w:t>结束后，向采购人提供飞机防治区域、飞防面积、飞防航迹、飞行架次、飞行时间等相关资料</w:t>
            </w:r>
            <w:r>
              <w:rPr>
                <w:rFonts w:ascii="仿宋_GB2312" w:hAnsi="仿宋_GB2312" w:cs="仿宋_GB2312" w:eastAsia="仿宋_GB2312"/>
                <w:sz w:val="21"/>
              </w:rPr>
              <w:t>（</w:t>
            </w:r>
            <w:r>
              <w:rPr>
                <w:rFonts w:ascii="仿宋_GB2312" w:hAnsi="仿宋_GB2312" w:cs="仿宋_GB2312" w:eastAsia="仿宋_GB2312"/>
                <w:sz w:val="21"/>
              </w:rPr>
              <w:t>提供承诺函，格式自拟</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4、根据川林检函［2025］62号文件中对农药包装物的要求，承诺在防治作业中由具有相应资质的专业机构或销售厂家对农药包装物进行回收。（提供回收单位承诺函原件）</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项目由采购人组织验收，采购人将根据《财政部关于进一步加强政府采购需求和履约验收管理的指导意见》（财库（2016）205号）以及《绵阳市财政局关于进一步做好政府采购项目履约验收工作的通知》(绵财采〔2021〕15号)的要求，依据磋商文件、响应文件、合同约定以及国家相关标准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1、项目验收合格，待上级资金下达后，一次性支付。，达到付款条件起30日内，支付合同总金额的100.00%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以合同签订为准。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方案编制要求：1、项目实施方案：内容至少包含：①时间安排及进度；②施药方案；③飞行方案；④质量保障措施、⑤应急处理方案5项内容2、售后服务方案：内容至少包含：①售后服务内容；②售后响应时间2项内容 二、项目飞行员应具有商用驾驶员执照；技术人员应配备具有林业高级职称或林业研究员证书的技术人员以及具有林业有害生物防治员证书的技术人员。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供应商需在使用投标(响应)客户端编制响应文件时，按要求提供具有独立承担民事责任的能力相关资料，并进行电子签章。</w:t>
              <w:br/>
              <w:t>1.供应商为企业（包括合伙企业）、个体工商户的,应提供工商营业执照或提供由市场监管部门核发的法人或者其他组织统一社会信用代码的营业执照（扫描件）；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持原件备查）。</w:t>
            </w:r>
          </w:p>
        </w:tc>
        <w:tc>
          <w:tcPr>
            <w:tcW w:type="dxa" w:w="1910"/>
          </w:tcPr>
          <w:p>
            <w:pPr>
              <w:pStyle w:val="null3"/>
              <w:jc w:val="left"/>
            </w:pPr>
            <w:r>
              <w:rPr>
                <w:rFonts w:ascii="仿宋_GB2312" w:hAnsi="仿宋_GB2312" w:cs="仿宋_GB2312" w:eastAsia="仿宋_GB2312"/>
              </w:rPr>
              <w:t>响应文件封面,投标（响应）函,具有独立承担民事责任能力的证明材料.docx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三年内任意一年，经审计的财务报告（包含审计报告和审计报告中所涉及的财务报表和报表附注）或者银行出具的资信证明。未经审计的提供财务报告（包括资产负债表、利润表、现金流量表、所有者权益变动表及其附注）。或提供具有健全的财务会计制度的承诺函（格式自拟），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具有健全的财务会计制度证明材料.docx,投标（响应）函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1若响应产品属于农药产品，须符合《农药管理规定》规定： 1.1供应商为代理商的，需具有有效的《农药经营许可证》；且提供响应农药产品制造厂商具备的有效资质证明材料（农药生产许可证、农药标准证、农药登记证）； 1.2供应商为制造厂商的须提供有效的资质证明材料（农药生产许可证、农药标准证、农药登记证）。</w:t>
            </w:r>
          </w:p>
        </w:tc>
        <w:tc>
          <w:tcPr>
            <w:tcW w:type="dxa" w:w="3322"/>
          </w:tcPr>
          <w:p>
            <w:pPr>
              <w:pStyle w:val="null3"/>
              <w:jc w:val="left"/>
            </w:pPr>
            <w:r>
              <w:rPr>
                <w:rFonts w:ascii="仿宋_GB2312" w:hAnsi="仿宋_GB2312" w:cs="仿宋_GB2312" w:eastAsia="仿宋_GB2312"/>
              </w:rPr>
              <w:t>1若响应产品属于农药产品，须符合《农药管理规定》规定： 1.1供应商为代理商的，需具有有效的《农药经营许可证》（扫描件）；且提供响应农药产品制造厂商具备的有效资质证明材料（农药生产许可证、农药标准证、农药登记证）（扫描件）； 1.2供应商为制造厂商的须提供有效的资质证明材料（农药生产许可证、农药标准证、农药登记证）。（扫描件）</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2.1供应商具有中国民航经营许可证。 2.2供应商具有中国民航局运行合格证（具备“农林喷洒作业飞行”资质）。</w:t>
            </w:r>
          </w:p>
        </w:tc>
        <w:tc>
          <w:tcPr>
            <w:tcW w:type="dxa" w:w="3322"/>
          </w:tcPr>
          <w:p>
            <w:pPr>
              <w:pStyle w:val="null3"/>
              <w:jc w:val="left"/>
            </w:pPr>
            <w:r>
              <w:rPr>
                <w:rFonts w:ascii="仿宋_GB2312" w:hAnsi="仿宋_GB2312" w:cs="仿宋_GB2312" w:eastAsia="仿宋_GB2312"/>
              </w:rPr>
              <w:t>2.1供应商具有中国民航经营许可证。（扫描件） 2.2供应商具有中国民航局运行合格证（具备“农林喷洒作业飞行”资质）。（扫描件）</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法定代表人身份证明及授权委托</w:t>
            </w:r>
          </w:p>
        </w:tc>
        <w:tc>
          <w:tcPr>
            <w:tcW w:type="dxa" w:w="3322"/>
          </w:tcPr>
          <w:p>
            <w:pPr>
              <w:pStyle w:val="null3"/>
              <w:jc w:val="left"/>
            </w:pPr>
            <w:r>
              <w:rPr>
                <w:rFonts w:ascii="仿宋_GB2312" w:hAnsi="仿宋_GB2312" w:cs="仿宋_GB2312" w:eastAsia="仿宋_GB2312"/>
              </w:rPr>
              <w:t>供应商需在项目电子化交易系统中按要求填写《法定代表人身份证明及授权委托书》并进行电子签章。</w:t>
            </w:r>
          </w:p>
        </w:tc>
        <w:tc>
          <w:tcPr>
            <w:tcW w:type="dxa" w:w="1910"/>
          </w:tcPr>
          <w:p>
            <w:pPr>
              <w:pStyle w:val="null3"/>
              <w:jc w:val="left"/>
            </w:pPr>
            <w:r>
              <w:rPr>
                <w:rFonts w:ascii="仿宋_GB2312" w:hAnsi="仿宋_GB2312" w:cs="仿宋_GB2312" w:eastAsia="仿宋_GB2312"/>
              </w:rPr>
              <w:t>法定身份证明和授权委托书.docx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服务要求应答</w:t>
            </w:r>
          </w:p>
        </w:tc>
        <w:tc>
          <w:tcPr>
            <w:tcW w:type="dxa" w:w="3322"/>
          </w:tcPr>
          <w:p>
            <w:pPr>
              <w:pStyle w:val="null3"/>
              <w:jc w:val="left"/>
            </w:pPr>
            <w:r>
              <w:rPr>
                <w:rFonts w:ascii="仿宋_GB2312" w:hAnsi="仿宋_GB2312" w:cs="仿宋_GB2312" w:eastAsia="仿宋_GB2312"/>
              </w:rPr>
              <w:t>供应商对招标文件第三章：3.3.服务要求进行响应应答，需在项目电子化交易系统中按要求填写《服务应答表》并进行电子签章。</w:t>
            </w:r>
          </w:p>
        </w:tc>
        <w:tc>
          <w:tcPr>
            <w:tcW w:type="dxa" w:w="1910"/>
          </w:tcPr>
          <w:p>
            <w:pPr>
              <w:pStyle w:val="null3"/>
              <w:jc w:val="left"/>
            </w:pPr>
            <w:r>
              <w:rPr>
                <w:rFonts w:ascii="仿宋_GB2312" w:hAnsi="仿宋_GB2312" w:cs="仿宋_GB2312" w:eastAsia="仿宋_GB2312"/>
              </w:rPr>
              <w:t>服务应答表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 xml:space="preserve">项目实施方案 </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1、完全满足磋商文件“技术参数要求”得24分（共10项）；每有一项负偏离的扣2.4分，直到本项分值扣完为止。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技术要求响应表.docx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供应商提供的实施方案应至少包含以下方面：①时间安排及进度；②施药方案；③飞行方案；④质量保障措施、⑤应急处理方案5项内容。方案内容齐全、条理结构清晰、层次细化完善、准确响应项目要求的得30分，每有一项方案内容缺项（上述实施方案所包括的5项方案）的扣6分；上述实施方案所包括的5项方案，对应的每小项方案有缺陷或不满足本项目需求的扣3分，扣完为止。 注：1、内容满足需求是指：①内容与项目服务需求吻合、层次细化，有具体详细的阐述；②阐述从实际出发，切合项目背景、项目需求并提出专业技术建议或者解决方案；③内容符合国家、地方、行业标准、行业惯例以及项目特点；④内容清楚明了、表述规范、含义准确。 2、有缺陷或不满足本项目需求是指：内容与本项目不相关或关联性不强，涉及内容的行业规范、标准与本项目执行标准不一致的对应小项内容与本项目不相关或关联性不强、仅有框架或标题，未进行详尽阐述或说明的，单项内容完全复制招标文件内容、方案与实际情况不符、表述不清晰、凭空编造、出现套用其他项目方案、内容出现前后不一致现象、涉及的规范及标准出现错误、实施地点区域错误、不符合本项目的实际需求、不可能实现的情形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企业综合实力</w:t>
            </w:r>
          </w:p>
        </w:tc>
        <w:tc>
          <w:tcPr>
            <w:tcW w:type="dxa" w:w="2575"/>
          </w:tcPr>
          <w:p>
            <w:pPr>
              <w:pStyle w:val="null3"/>
              <w:jc w:val="left"/>
            </w:pPr>
            <w:r>
              <w:rPr>
                <w:rFonts w:ascii="仿宋_GB2312" w:hAnsi="仿宋_GB2312" w:cs="仿宋_GB2312" w:eastAsia="仿宋_GB2312"/>
              </w:rPr>
              <w:t>1.提供本公司自有航空器证明材料扫描件（民用航空器登记证、适航证、电台执照）得2分，未提供或提供不全的不得分。 2.提供飞行员的“商用驾驶员执照”扫描件得2分，未提供不得分，本项最多得2分。 3.供应商每提供一名具有林业高级职称或林业研究员证书的技术人员得3分，本项最多得6分。 4.供应商每提供一名具有林业有害生物防治员证书的技术人员得2分，未提供不得分，本项最多得4分。 注：上述证明材料及人员证书未提供不得分。</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综合实力.docx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有切实可行的售后服务措施至少包含以下方面：①售后服务内容；②售后响应时间等2项内容。方案内容齐全、条理结构清晰、层次细化完善、准确响应项目要求的得12分，每有一项方案内容缺项（上述实施方案所包括的2项方案）的扣6分；上述实施方案所包括的2项方案，对应的每小项方案有缺陷或不满足本项目需求的扣3分，扣完为止。 注：1、内容满足需求是指：①内容与项目服务需求吻合、层次细化，有具体详细的阐述；②阐述从实际出发，切合项目背景、项目需求并提出专业技术建议或者解决方案；③内容符合国家、地方、行业标准、行业惯例以及项目特点；④内容清楚明了、表述规范、含义准确。 2、有缺陷或不满足本项目需求是指：内容与本项目不相关或关联性不强，涉及内容的行业规范、标准与本项目执行标准不一致的对应小项内容与本项目不相关或关联性不强、仅有框架或标题，未进行详尽阐述或说明的，单项内容完全复制招标文件内容、方案与实际情况不符、表述不清晰、凭空编造、出现套用其他项目方案、内容出现前后不一致现象、涉及的规范及标准出现错误、实施地点区域错误、不符合本项目的实际需求、不可能实现的情形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后续服务方案.docx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履约能力要求</w:t>
            </w:r>
          </w:p>
        </w:tc>
        <w:tc>
          <w:tcPr>
            <w:tcW w:type="dxa" w:w="2575"/>
          </w:tcPr>
          <w:p>
            <w:pPr>
              <w:pStyle w:val="null3"/>
              <w:jc w:val="left"/>
            </w:pPr>
            <w:r>
              <w:rPr>
                <w:rFonts w:ascii="仿宋_GB2312" w:hAnsi="仿宋_GB2312" w:cs="仿宋_GB2312" w:eastAsia="仿宋_GB2312"/>
              </w:rPr>
              <w:t>供应商每提供一个2022年以来已完成的类似项目业绩得5分，本项最多得10分。提供合同及验收结论复印件并加盖公章，未提供不得分。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详见附件：法定身份证明和授权委托书.docx</w:t>
      </w:r>
    </w:p>
    <w:p>
      <w:pPr>
        <w:pStyle w:val="null3"/>
        <w:ind w:firstLine="960"/>
        <w:jc w:val="left"/>
      </w:pPr>
      <w:r>
        <w:rPr>
          <w:rFonts w:ascii="仿宋_GB2312" w:hAnsi="仿宋_GB2312" w:cs="仿宋_GB2312" w:eastAsia="仿宋_GB2312"/>
        </w:rPr>
        <w:t>详见附件：具有独立承担民事责任能力的证明材料.docx</w:t>
      </w:r>
    </w:p>
    <w:p>
      <w:pPr>
        <w:pStyle w:val="null3"/>
        <w:ind w:firstLine="960"/>
        <w:jc w:val="left"/>
      </w:pPr>
      <w:r>
        <w:rPr>
          <w:rFonts w:ascii="仿宋_GB2312" w:hAnsi="仿宋_GB2312" w:cs="仿宋_GB2312" w:eastAsia="仿宋_GB2312"/>
        </w:rPr>
        <w:t>详见附件：具有健全的财务会计制度证明材料.docx</w:t>
      </w:r>
    </w:p>
    <w:p>
      <w:pPr>
        <w:pStyle w:val="null3"/>
        <w:ind w:firstLine="960"/>
        <w:jc w:val="left"/>
      </w:pPr>
      <w:r>
        <w:rPr>
          <w:rFonts w:ascii="仿宋_GB2312" w:hAnsi="仿宋_GB2312" w:cs="仿宋_GB2312" w:eastAsia="仿宋_GB2312"/>
        </w:rPr>
        <w:t>详见附件：技术要求响应表.docx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详见附件：综合实力.docx</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详见附件：后续服务方案.docx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