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版本号：N510802202400010020250226001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2025年学校食堂大宗物资采购项目(二次)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N5108022024000100</w:t>
      </w:r>
    </w:p>
    <w:p>
      <w:pPr>
        <w:pStyle w:val="null3"/>
        <w:jc w:val="left"/>
        <w:outlineLvl w:val="2"/>
      </w:pPr>
      <w:r>
        <w:rPr>
          <w:rFonts w:ascii="仿宋_GB2312" w:hAnsi="仿宋_GB2312" w:cs="仿宋_GB2312" w:eastAsia="仿宋_GB2312"/>
          <w:sz w:val="28"/>
          <w:b/>
        </w:rPr>
        <w:t>广元市利州区教育局</w:t>
      </w:r>
    </w:p>
    <w:p>
      <w:pPr>
        <w:pStyle w:val="null3"/>
        <w:jc w:val="center"/>
        <w:outlineLvl w:val="2"/>
      </w:pPr>
      <w:r>
        <w:rPr>
          <w:rFonts w:ascii="仿宋_GB2312" w:hAnsi="仿宋_GB2312" w:cs="仿宋_GB2312" w:eastAsia="仿宋_GB2312"/>
          <w:sz w:val="28"/>
          <w:b/>
        </w:rPr>
        <w:t>广元市利州区政府采购中心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2025年02月27日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广元市利州区政府采购中心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广元市利州区教育局</w:t>
      </w:r>
      <w:r>
        <w:rPr>
          <w:rFonts w:ascii="仿宋_GB2312" w:hAnsi="仿宋_GB2312" w:cs="仿宋_GB2312" w:eastAsia="仿宋_GB2312"/>
        </w:rPr>
        <w:t xml:space="preserve"> 委托，拟对 </w:t>
      </w:r>
      <w:r>
        <w:rPr>
          <w:rFonts w:ascii="仿宋_GB2312" w:hAnsi="仿宋_GB2312" w:cs="仿宋_GB2312" w:eastAsia="仿宋_GB2312"/>
        </w:rPr>
        <w:t>2025年学校食堂大宗物资采购项目(二次)</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广元市利州区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N5108022024000100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2025年学校食堂大宗物资采购项目(二次)</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sz w:val="32"/>
          <w:color w:val="000000"/>
        </w:rPr>
        <w:t>2025年3月至</w:t>
      </w:r>
      <w:r>
        <w:rPr>
          <w:rFonts w:ascii="仿宋_GB2312" w:hAnsi="仿宋_GB2312" w:cs="仿宋_GB2312" w:eastAsia="仿宋_GB2312"/>
          <w:sz w:val="32"/>
          <w:color w:val="000000"/>
        </w:rPr>
        <w:t>2026</w:t>
      </w:r>
      <w:r>
        <w:rPr>
          <w:rFonts w:ascii="仿宋_GB2312" w:hAnsi="仿宋_GB2312" w:cs="仿宋_GB2312" w:eastAsia="仿宋_GB2312"/>
          <w:sz w:val="32"/>
          <w:color w:val="000000"/>
        </w:rPr>
        <w:t>年</w:t>
      </w:r>
      <w:r>
        <w:rPr>
          <w:rFonts w:ascii="仿宋_GB2312" w:hAnsi="仿宋_GB2312" w:cs="仿宋_GB2312" w:eastAsia="仿宋_GB2312"/>
          <w:sz w:val="32"/>
          <w:color w:val="000000"/>
        </w:rPr>
        <w:t>2月，利州区区属范围内</w:t>
      </w:r>
      <w:r>
        <w:rPr>
          <w:rFonts w:ascii="仿宋_GB2312" w:hAnsi="仿宋_GB2312" w:cs="仿宋_GB2312" w:eastAsia="仿宋_GB2312"/>
          <w:sz w:val="32"/>
          <w:color w:val="000000"/>
        </w:rPr>
        <w:t>62</w:t>
      </w:r>
      <w:r>
        <w:rPr>
          <w:rFonts w:ascii="仿宋_GB2312" w:hAnsi="仿宋_GB2312" w:cs="仿宋_GB2312" w:eastAsia="仿宋_GB2312"/>
          <w:sz w:val="32"/>
          <w:color w:val="000000"/>
        </w:rPr>
        <w:t>所学校食堂约</w:t>
      </w:r>
      <w:r>
        <w:rPr>
          <w:rFonts w:ascii="仿宋_GB2312" w:hAnsi="仿宋_GB2312" w:cs="仿宋_GB2312" w:eastAsia="仿宋_GB2312"/>
          <w:sz w:val="32"/>
          <w:color w:val="000000"/>
        </w:rPr>
        <w:t>6</w:t>
      </w:r>
      <w:r>
        <w:rPr>
          <w:rFonts w:ascii="仿宋_GB2312" w:hAnsi="仿宋_GB2312" w:cs="仿宋_GB2312" w:eastAsia="仿宋_GB2312"/>
          <w:sz w:val="32"/>
          <w:color w:val="000000"/>
        </w:rPr>
        <w:t>万名学生提供食材，通过公开招标的方式采购，采购内容为猪肉、牛肉。项目分</w:t>
      </w:r>
      <w:r>
        <w:rPr>
          <w:rFonts w:ascii="仿宋_GB2312" w:hAnsi="仿宋_GB2312" w:cs="仿宋_GB2312" w:eastAsia="仿宋_GB2312"/>
          <w:sz w:val="32"/>
          <w:color w:val="000000"/>
        </w:rPr>
        <w:t>2个包进行采购。项目执行依据教育部等七部委关于《农村义务教育学生营养改善计划实施办法》（教财〔</w:t>
      </w:r>
      <w:r>
        <w:rPr>
          <w:rFonts w:ascii="仿宋_GB2312" w:hAnsi="仿宋_GB2312" w:cs="仿宋_GB2312" w:eastAsia="仿宋_GB2312"/>
          <w:sz w:val="32"/>
          <w:color w:val="000000"/>
        </w:rPr>
        <w:t>2022</w:t>
      </w:r>
      <w:r>
        <w:rPr>
          <w:rFonts w:ascii="仿宋_GB2312" w:hAnsi="仿宋_GB2312" w:cs="仿宋_GB2312" w:eastAsia="仿宋_GB2312"/>
          <w:sz w:val="32"/>
          <w:color w:val="000000"/>
        </w:rPr>
        <w:t>〕</w:t>
      </w:r>
      <w:r>
        <w:rPr>
          <w:rFonts w:ascii="仿宋_GB2312" w:hAnsi="仿宋_GB2312" w:cs="仿宋_GB2312" w:eastAsia="仿宋_GB2312"/>
          <w:sz w:val="32"/>
          <w:color w:val="000000"/>
        </w:rPr>
        <w:t>2</w:t>
      </w:r>
      <w:r>
        <w:rPr>
          <w:rFonts w:ascii="仿宋_GB2312" w:hAnsi="仿宋_GB2312" w:cs="仿宋_GB2312" w:eastAsia="仿宋_GB2312"/>
          <w:sz w:val="32"/>
          <w:color w:val="000000"/>
        </w:rPr>
        <w:t>号）第二十三条和《四川省中小学校食品安全管理办法》（四川省人民政府令第</w:t>
      </w:r>
      <w:r>
        <w:rPr>
          <w:rFonts w:ascii="仿宋_GB2312" w:hAnsi="仿宋_GB2312" w:cs="仿宋_GB2312" w:eastAsia="仿宋_GB2312"/>
          <w:sz w:val="32"/>
          <w:color w:val="000000"/>
        </w:rPr>
        <w:t xml:space="preserve">337 </w:t>
      </w:r>
      <w:r>
        <w:rPr>
          <w:rFonts w:ascii="仿宋_GB2312" w:hAnsi="仿宋_GB2312" w:cs="仿宋_GB2312" w:eastAsia="仿宋_GB2312"/>
          <w:sz w:val="32"/>
          <w:color w:val="000000"/>
        </w:rPr>
        <w:t>号）第十四条，健全从食材采购、配送、验收等全流程的监管保障及措施体系。本项目采购资金约为</w:t>
      </w:r>
      <w:r>
        <w:rPr>
          <w:rFonts w:ascii="仿宋_GB2312" w:hAnsi="仿宋_GB2312" w:cs="仿宋_GB2312" w:eastAsia="仿宋_GB2312"/>
          <w:sz w:val="32"/>
          <w:color w:val="000000"/>
        </w:rPr>
        <w:t>1977万元，由</w:t>
      </w:r>
      <w:r>
        <w:rPr>
          <w:rFonts w:ascii="仿宋_GB2312" w:hAnsi="仿宋_GB2312" w:cs="仿宋_GB2312" w:eastAsia="仿宋_GB2312"/>
          <w:sz w:val="32"/>
          <w:color w:val="000000"/>
        </w:rPr>
        <w:t>2025</w:t>
      </w:r>
      <w:r>
        <w:rPr>
          <w:rFonts w:ascii="仿宋_GB2312" w:hAnsi="仿宋_GB2312" w:cs="仿宋_GB2312" w:eastAsia="仿宋_GB2312"/>
          <w:sz w:val="32"/>
          <w:color w:val="000000"/>
        </w:rPr>
        <w:t>年营养餐预算资金</w:t>
      </w:r>
      <w:r>
        <w:rPr>
          <w:rFonts w:ascii="仿宋_GB2312" w:hAnsi="仿宋_GB2312" w:cs="仿宋_GB2312" w:eastAsia="仿宋_GB2312"/>
          <w:sz w:val="32"/>
          <w:color w:val="000000"/>
        </w:rPr>
        <w:t>754万元和学生代管伙食费万元1223万元构成。本项目采购的是</w:t>
      </w:r>
      <w:r>
        <w:rPr>
          <w:rFonts w:ascii="仿宋_GB2312" w:hAnsi="仿宋_GB2312" w:cs="仿宋_GB2312" w:eastAsia="仿宋_GB2312"/>
          <w:sz w:val="32"/>
          <w:b/>
          <w:color w:val="000000"/>
        </w:rPr>
        <w:t>产品</w:t>
      </w:r>
      <w:r>
        <w:rPr>
          <w:rFonts w:ascii="仿宋_GB2312" w:hAnsi="仿宋_GB2312" w:cs="仿宋_GB2312" w:eastAsia="仿宋_GB2312"/>
          <w:sz w:val="32"/>
          <w:color w:val="000000"/>
        </w:rPr>
        <w:t>下浮率，各包的预算金额和数量仅做参考，结算资金按各包中标价与实际用量据实结算。猪肉执行单价下浮率报价，大于或等于</w:t>
      </w:r>
      <w:r>
        <w:rPr>
          <w:rFonts w:ascii="仿宋_GB2312" w:hAnsi="仿宋_GB2312" w:cs="仿宋_GB2312" w:eastAsia="仿宋_GB2312"/>
          <w:sz w:val="32"/>
          <w:color w:val="000000"/>
        </w:rPr>
        <w:t>3%</w:t>
      </w:r>
      <w:r>
        <w:rPr>
          <w:rFonts w:ascii="仿宋_GB2312" w:hAnsi="仿宋_GB2312" w:cs="仿宋_GB2312" w:eastAsia="仿宋_GB2312"/>
          <w:sz w:val="32"/>
          <w:color w:val="000000"/>
        </w:rPr>
        <w:t>为有效报价；牛肉执行单价下浮率报价，大于或等于</w:t>
      </w:r>
      <w:r>
        <w:rPr>
          <w:rFonts w:ascii="仿宋_GB2312" w:hAnsi="仿宋_GB2312" w:cs="仿宋_GB2312" w:eastAsia="仿宋_GB2312"/>
          <w:sz w:val="32"/>
          <w:color w:val="000000"/>
        </w:rPr>
        <w:t>3%</w:t>
      </w:r>
      <w:r>
        <w:rPr>
          <w:rFonts w:ascii="仿宋_GB2312" w:hAnsi="仿宋_GB2312" w:cs="仿宋_GB2312" w:eastAsia="仿宋_GB2312"/>
          <w:sz w:val="32"/>
          <w:color w:val="000000"/>
        </w:rPr>
        <w:t>为有效报价</w:t>
      </w:r>
      <w:r>
        <w:rPr>
          <w:rFonts w:ascii="仿宋_GB2312" w:hAnsi="仿宋_GB2312" w:cs="仿宋_GB2312" w:eastAsia="仿宋_GB2312"/>
          <w:sz w:val="32"/>
          <w:color w:val="000000"/>
        </w:rPr>
        <w:t>。</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jc w:val="left"/>
      </w:pPr>
      <w:r>
        <w:rPr>
          <w:rFonts w:ascii="仿宋_GB2312" w:hAnsi="仿宋_GB2312" w:cs="仿宋_GB2312" w:eastAsia="仿宋_GB2312"/>
        </w:rPr>
        <w:t>采购包2：无。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1、投标人需提供有效期内的《生猪定点屠宰许可证》和《动物防疫条件合格证》。（描述：按要求提供相关证明资料，并进行电子签章。）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1、投标人需提供有效期内的《动物防疫条件合格证》。（描述：按要求提供相关证明资料，并进行电子签章。）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广元市利州区教育局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广元市利州区苴国路34号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向老师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0839-3314799</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广元市利州区政府采购中心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四川省广元市利州区玉潭路50号利州区政务服务和公共资源交易中心C区4楼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谭老师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0839—5572870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采购包1：5,582,200.00元</w:t>
            </w:r>
          </w:p>
          <w:p>
            <w:pPr>
              <w:pStyle w:val="null3"/>
              <w:jc w:val="left"/>
            </w:pPr>
            <w:r>
              <w:rPr>
                <w:rFonts w:ascii="仿宋_GB2312" w:hAnsi="仿宋_GB2312" w:cs="仿宋_GB2312" w:eastAsia="仿宋_GB2312"/>
              </w:rPr>
              <w:t>采购包2：1,955,998.00元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采购包2：不接受联合体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p>
            <w:pPr>
              <w:pStyle w:val="null3"/>
              <w:jc w:val="left"/>
            </w:pPr>
            <w:r>
              <w:rPr>
                <w:rFonts w:ascii="仿宋_GB2312" w:hAnsi="仿宋_GB2312" w:cs="仿宋_GB2312" w:eastAsia="仿宋_GB2312"/>
              </w:rPr>
              <w:t>采购包2：不收取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p>
            <w:pPr>
              <w:pStyle w:val="null3"/>
              <w:jc w:val="left"/>
            </w:pPr>
            <w:r>
              <w:rPr>
                <w:rFonts w:ascii="仿宋_GB2312" w:hAnsi="仿宋_GB2312" w:cs="仿宋_GB2312" w:eastAsia="仿宋_GB2312"/>
              </w:rPr>
              <w:t>采购包2：否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广元市利州区教育局</w:t>
      </w:r>
      <w:r>
        <w:rPr>
          <w:rFonts w:ascii="仿宋_GB2312" w:hAnsi="仿宋_GB2312" w:cs="仿宋_GB2312" w:eastAsia="仿宋_GB2312"/>
        </w:rPr>
        <w:t xml:space="preserve"> 和 </w:t>
      </w:r>
      <w:r>
        <w:rPr>
          <w:rFonts w:ascii="仿宋_GB2312" w:hAnsi="仿宋_GB2312" w:cs="仿宋_GB2312" w:eastAsia="仿宋_GB2312"/>
        </w:rPr>
        <w:t>广元市利州区政府采购中心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广元市利州区教育局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广元市利州区政府采购中心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应严格按照《中华人民共和国食品安全法》、教育部等七部门关于印发《农村义务教育学生营养改善计划实施办法》的通知要求、《财政部关于进一步加强政府采购需求和履约验收管理的指导意见》（财库〔2016〕205号）、《财政部关于印发&lt;政府采购需求管理办法&gt; 的通知》（财库〔2021〕22号）以及国家行业部门的技术规范标准要求进行验收。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其他未尽事宜应严格按照《中华人民共和国食品安全法》、教育部等七部门关于印发《农村义务教育学生营养改善计划实施办法》的通知要求、《财政部关于进一步加强政府采购需求和履约验收管理的指导意见》（财库〔2016〕205号）、《财政部关于印发&lt;政府采购需求管理办法&gt; 的通知》（财库〔2021〕22号）以及国家行业部门的技术规范标准要求进行验收。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各学校按招标文件的质量标准自行分批次验收并做好入库管理；采购人每学期联合区市场监管局、区农业农村局等部门对大宗食材集中履约验收或请第三方专业机构及专家参与抽检验收，相关验收意见作为验收的必备资料。</w:t>
      </w:r>
    </w:p>
    <w:p>
      <w:pPr>
        <w:pStyle w:val="null3"/>
        <w:jc w:val="left"/>
      </w:pPr>
      <w:r>
        <w:rPr>
          <w:rFonts w:ascii="仿宋_GB2312" w:hAnsi="仿宋_GB2312" w:cs="仿宋_GB2312" w:eastAsia="仿宋_GB2312"/>
        </w:rPr>
        <w:t>采购包2：</w:t>
      </w:r>
      <w:r>
        <w:rPr>
          <w:rFonts w:ascii="仿宋_GB2312" w:hAnsi="仿宋_GB2312" w:cs="仿宋_GB2312" w:eastAsia="仿宋_GB2312"/>
        </w:rPr>
        <w:t>各学校按招标文件的质量标准自行分批次验收并做好入库管理；采购人每学期联合区市场监管局、区农业农村局等部门对大宗食材集中履约验收或请第三方专业机构及专家参与抽检验收，相关验收意见作为验收的必备资料。</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按照本项目招标文件商务要求及中标人的投标文件承诺以及本合同约定标准进行验收。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按照本项目招标文件商务要求及中标人的投标文件承诺以及本合同约定标准进行验收。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各学校按招标文件的质量标准自行分批次验收并做好入库管理；采购人每学期联合区市场监管局、区农业农村局等部门对大宗食材集中履约验收或请第三方专业机构及专家参与抽检验收，相关验收意见作为验收的必备资料，并按国家有关规定以及招标文件的质量要求和服务要求、考核标准(包括每一项服务和商务要求的履约情况)、中标人的投标文件及承诺与本合同约定标准进行验收；合同双方如对服务要求的约定标准有相互抵触或异议的事项，由采购人在国家有关规定、招标文件、投标文件及承诺与采购合同约定标准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各学校按招标文件的质量标准自行分批次验收并做好入库管理；采购人每学期联合区市场监管局、区农业农村局等部门对大宗食材集中履约验收或请第三方专业机构及专家参与抽检验收，相关验收意见作为验收的必备资料，并按国家有关规定以及招标文件的质量要求和服务要求、考核标准(包括每一项服务和商务要求的履约情况)、中标人的投标文件及承诺与本合同约定标准进行验收；合同双方如对服务要求的约定标准有相互抵触或异议的事项，由采购人在国家有关规定、招标文件、投标文件及承诺与采购合同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应严格按照《中华人民共和国食品安全法》、教育部等七部门关于印发《农村义务教育学生营养改善计划实施办法》的通知要求、《财政部关于进一步加强政府采购需求和履约验收管理的指导意见》（财库〔2016〕205号）、《财政部关于印发&lt;政府采购需求管理办法&gt; 的通知》（财库〔2021〕22号）以及国家行业部门的技术规范标准要求进行验收。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其他未尽事宜应严格按照《中华人民共和国食品安全法》、教育部等七部门关于印发《农村义务教育学生营养改善计划实施办法》的通知要求、《财政部关于进一步加强政府采购需求和履约验收管理的指导意见》（财库〔2016〕205号）、《财政部关于印发&lt;政府采购需求管理办法&gt; 的通知》（财库〔2021〕22号）以及国家行业部门的技术规范标准要求进行验收。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广元市利州区教育局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广元市利州区政府采购中心</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广元市利州区政府采购中心</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联系人：向老师</w:t>
      </w:r>
    </w:p>
    <w:p>
      <w:pPr>
        <w:pStyle w:val="null3"/>
        <w:jc w:val="left"/>
      </w:pPr>
      <w:r>
        <w:rPr>
          <w:rFonts w:ascii="仿宋_GB2312" w:hAnsi="仿宋_GB2312" w:cs="仿宋_GB2312" w:eastAsia="仿宋_GB2312"/>
        </w:rPr>
        <w:t>联系电话：0839-3314799</w:t>
      </w:r>
    </w:p>
    <w:p>
      <w:pPr>
        <w:pStyle w:val="null3"/>
        <w:jc w:val="left"/>
      </w:pPr>
      <w:r>
        <w:rPr>
          <w:rFonts w:ascii="仿宋_GB2312" w:hAnsi="仿宋_GB2312" w:cs="仿宋_GB2312" w:eastAsia="仿宋_GB2312"/>
        </w:rPr>
        <w:t>地址：广元市利州区苴国路34号</w:t>
      </w:r>
    </w:p>
    <w:p>
      <w:pPr>
        <w:pStyle w:val="null3"/>
        <w:jc w:val="left"/>
      </w:pPr>
      <w:r>
        <w:rPr>
          <w:rFonts w:ascii="仿宋_GB2312" w:hAnsi="仿宋_GB2312" w:cs="仿宋_GB2312" w:eastAsia="仿宋_GB2312"/>
        </w:rPr>
        <w:t>邮编： 628000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联系人：韩老师</w:t>
      </w:r>
    </w:p>
    <w:p>
      <w:pPr>
        <w:pStyle w:val="null3"/>
        <w:jc w:val="left"/>
      </w:pPr>
      <w:r>
        <w:rPr>
          <w:rFonts w:ascii="仿宋_GB2312" w:hAnsi="仿宋_GB2312" w:cs="仿宋_GB2312" w:eastAsia="仿宋_GB2312"/>
        </w:rPr>
        <w:t>联系电话：0839—5572867</w:t>
      </w:r>
    </w:p>
    <w:p>
      <w:pPr>
        <w:pStyle w:val="null3"/>
        <w:jc w:val="left"/>
      </w:pPr>
      <w:r>
        <w:rPr>
          <w:rFonts w:ascii="仿宋_GB2312" w:hAnsi="仿宋_GB2312" w:cs="仿宋_GB2312" w:eastAsia="仿宋_GB2312"/>
        </w:rPr>
        <w:t>地址： 四川省广元市利州区玉潭路50号利州区政务服务和公共资源交易中心C区4楼</w:t>
      </w:r>
    </w:p>
    <w:p>
      <w:pPr>
        <w:pStyle w:val="null3"/>
        <w:jc w:val="left"/>
      </w:pPr>
      <w:r>
        <w:rPr>
          <w:rFonts w:ascii="仿宋_GB2312" w:hAnsi="仿宋_GB2312" w:cs="仿宋_GB2312" w:eastAsia="仿宋_GB2312"/>
        </w:rPr>
        <w:t>邮编：628000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jc w:val="left"/>
      </w:pPr>
      <w:r>
        <w:rPr>
          <w:rFonts w:ascii="仿宋_GB2312" w:hAnsi="仿宋_GB2312" w:cs="仿宋_GB2312" w:eastAsia="仿宋_GB2312"/>
        </w:rPr>
        <w:t>采购包2：不需要样品评审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5,582,200.00</w:t>
      </w:r>
    </w:p>
    <w:p>
      <w:pPr>
        <w:pStyle w:val="null3"/>
        <w:jc w:val="left"/>
      </w:pPr>
      <w:r>
        <w:rPr>
          <w:rFonts w:ascii="仿宋_GB2312" w:hAnsi="仿宋_GB2312" w:cs="仿宋_GB2312" w:eastAsia="仿宋_GB2312"/>
        </w:rPr>
        <w:t>采购包最高限价（元）: 5,582,200.00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其他农副食品，动、植物油制品</w:t>
            </w:r>
          </w:p>
        </w:tc>
        <w:tc>
          <w:tcPr>
            <w:tcW w:type="dxa" w:w="821"/>
          </w:tcPr>
          <w:p>
            <w:pPr>
              <w:pStyle w:val="null3"/>
              <w:jc w:val="left"/>
            </w:pPr>
            <w:r>
              <w:rPr>
                <w:rFonts w:ascii="仿宋_GB2312" w:hAnsi="仿宋_GB2312" w:cs="仿宋_GB2312" w:eastAsia="仿宋_GB2312"/>
              </w:rPr>
              <w:t>猪肉</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5,582,200.00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1,955,998.00</w:t>
      </w:r>
    </w:p>
    <w:p>
      <w:pPr>
        <w:pStyle w:val="null3"/>
        <w:jc w:val="left"/>
      </w:pPr>
      <w:r>
        <w:rPr>
          <w:rFonts w:ascii="仿宋_GB2312" w:hAnsi="仿宋_GB2312" w:cs="仿宋_GB2312" w:eastAsia="仿宋_GB2312"/>
        </w:rPr>
        <w:t>采购包最高限价（元）: 1,955,998.00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其他农副食品，动、植物油制品</w:t>
            </w:r>
          </w:p>
        </w:tc>
        <w:tc>
          <w:tcPr>
            <w:tcW w:type="dxa" w:w="821"/>
          </w:tcPr>
          <w:p>
            <w:pPr>
              <w:pStyle w:val="null3"/>
              <w:jc w:val="left"/>
            </w:pPr>
            <w:r>
              <w:rPr>
                <w:rFonts w:ascii="仿宋_GB2312" w:hAnsi="仿宋_GB2312" w:cs="仿宋_GB2312" w:eastAsia="仿宋_GB2312"/>
              </w:rPr>
              <w:t>牛肉</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1,955,998.00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猪肉</w:t>
            </w:r>
          </w:p>
        </w:tc>
        <w:tc>
          <w:tcPr>
            <w:tcW w:type="dxa" w:w="977"/>
          </w:tcPr>
          <w:p>
            <w:pPr>
              <w:pStyle w:val="null3"/>
              <w:jc w:val="center"/>
            </w:pPr>
            <w:r>
              <w:rPr>
                <w:rFonts w:ascii="仿宋_GB2312" w:hAnsi="仿宋_GB2312" w:cs="仿宋_GB2312" w:eastAsia="仿宋_GB2312"/>
              </w:rPr>
              <w:t>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97.00</w:t>
            </w:r>
          </w:p>
        </w:tc>
        <w:tc>
          <w:tcPr>
            <w:tcW w:type="dxa" w:w="977"/>
          </w:tcPr>
          <w:p>
            <w:pPr>
              <w:pStyle w:val="null3"/>
              <w:jc w:val="center"/>
            </w:pPr>
            <w:r>
              <w:rPr>
                <w:rFonts w:ascii="仿宋_GB2312" w:hAnsi="仿宋_GB2312" w:cs="仿宋_GB2312" w:eastAsia="仿宋_GB2312"/>
              </w:rPr>
              <w:t>百分比</w:t>
            </w:r>
          </w:p>
        </w:tc>
        <w:tc>
          <w:tcPr>
            <w:tcW w:type="dxa" w:w="1466"/>
          </w:tcPr>
          <w:p>
            <w:pPr>
              <w:pStyle w:val="null3"/>
              <w:jc w:val="left"/>
            </w:pPr>
            <w:r>
              <w:rPr>
                <w:rFonts w:ascii="仿宋_GB2312" w:hAnsi="仿宋_GB2312" w:cs="仿宋_GB2312" w:eastAsia="仿宋_GB2312"/>
              </w:rPr>
              <w:t>1.最高限价=(1-下浮率)。 2.下浮率≥3%为有效报价。</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牛肉</w:t>
            </w:r>
          </w:p>
        </w:tc>
        <w:tc>
          <w:tcPr>
            <w:tcW w:type="dxa" w:w="977"/>
          </w:tcPr>
          <w:p>
            <w:pPr>
              <w:pStyle w:val="null3"/>
              <w:jc w:val="center"/>
            </w:pPr>
            <w:r>
              <w:rPr>
                <w:rFonts w:ascii="仿宋_GB2312" w:hAnsi="仿宋_GB2312" w:cs="仿宋_GB2312" w:eastAsia="仿宋_GB2312"/>
              </w:rPr>
              <w:t>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97.00</w:t>
            </w:r>
          </w:p>
        </w:tc>
        <w:tc>
          <w:tcPr>
            <w:tcW w:type="dxa" w:w="977"/>
          </w:tcPr>
          <w:p>
            <w:pPr>
              <w:pStyle w:val="null3"/>
              <w:jc w:val="center"/>
            </w:pPr>
            <w:r>
              <w:rPr>
                <w:rFonts w:ascii="仿宋_GB2312" w:hAnsi="仿宋_GB2312" w:cs="仿宋_GB2312" w:eastAsia="仿宋_GB2312"/>
              </w:rPr>
              <w:t>百分比</w:t>
            </w:r>
          </w:p>
        </w:tc>
        <w:tc>
          <w:tcPr>
            <w:tcW w:type="dxa" w:w="1466"/>
          </w:tcPr>
          <w:p>
            <w:pPr>
              <w:pStyle w:val="null3"/>
              <w:jc w:val="left"/>
            </w:pPr>
            <w:r>
              <w:rPr>
                <w:rFonts w:ascii="仿宋_GB2312" w:hAnsi="仿宋_GB2312" w:cs="仿宋_GB2312" w:eastAsia="仿宋_GB2312"/>
              </w:rPr>
              <w:t>1.最高限价=(1-下浮率)。 2.下浮率≥3%为有效报价。</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其他农副食品，动、植物油制品</w:t>
            </w:r>
          </w:p>
        </w:tc>
        <w:tc>
          <w:tcPr>
            <w:tcW w:type="dxa" w:w="2492"/>
          </w:tcPr>
          <w:p>
            <w:pPr>
              <w:pStyle w:val="null3"/>
              <w:jc w:val="left"/>
            </w:pPr>
            <w:r>
              <w:rPr>
                <w:rFonts w:ascii="仿宋_GB2312" w:hAnsi="仿宋_GB2312" w:cs="仿宋_GB2312" w:eastAsia="仿宋_GB2312"/>
              </w:rPr>
              <w:t>猪肉</w:t>
            </w:r>
          </w:p>
        </w:tc>
        <w:tc>
          <w:tcPr>
            <w:tcW w:type="dxa" w:w="2492"/>
          </w:tcPr>
          <w:p>
            <w:pPr>
              <w:pStyle w:val="null3"/>
              <w:jc w:val="left"/>
            </w:pPr>
            <w:r>
              <w:rPr>
                <w:rFonts w:ascii="仿宋_GB2312" w:hAnsi="仿宋_GB2312" w:cs="仿宋_GB2312" w:eastAsia="仿宋_GB2312"/>
              </w:rPr>
              <w:t>猪肉</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其他农副食品，动、植物油制品</w:t>
            </w:r>
          </w:p>
        </w:tc>
        <w:tc>
          <w:tcPr>
            <w:tcW w:type="dxa" w:w="2492"/>
          </w:tcPr>
          <w:p>
            <w:pPr>
              <w:pStyle w:val="null3"/>
              <w:jc w:val="left"/>
            </w:pPr>
            <w:r>
              <w:rPr>
                <w:rFonts w:ascii="仿宋_GB2312" w:hAnsi="仿宋_GB2312" w:cs="仿宋_GB2312" w:eastAsia="仿宋_GB2312"/>
              </w:rPr>
              <w:t>牛肉</w:t>
            </w:r>
          </w:p>
        </w:tc>
        <w:tc>
          <w:tcPr>
            <w:tcW w:type="dxa" w:w="2492"/>
          </w:tcPr>
          <w:p>
            <w:pPr>
              <w:pStyle w:val="null3"/>
              <w:jc w:val="left"/>
            </w:pPr>
            <w:r>
              <w:rPr>
                <w:rFonts w:ascii="仿宋_GB2312" w:hAnsi="仿宋_GB2312" w:cs="仿宋_GB2312" w:eastAsia="仿宋_GB2312"/>
              </w:rPr>
              <w:t>牛肉</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标的名称：猪肉</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ind w:firstLine="46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符合</w:t>
            </w:r>
            <w:r>
              <w:rPr>
                <w:rFonts w:ascii="仿宋_GB2312" w:hAnsi="仿宋_GB2312" w:cs="仿宋_GB2312" w:eastAsia="仿宋_GB2312"/>
                <w:sz w:val="24"/>
                <w:color w:val="000000"/>
              </w:rPr>
              <w:t>（</w:t>
            </w:r>
            <w:r>
              <w:rPr>
                <w:rFonts w:ascii="仿宋_GB2312" w:hAnsi="仿宋_GB2312" w:cs="仿宋_GB2312" w:eastAsia="仿宋_GB2312"/>
                <w:sz w:val="24"/>
                <w:color w:val="000000"/>
              </w:rPr>
              <w:t>GB/T 9959.1-2019</w:t>
            </w:r>
            <w:r>
              <w:rPr>
                <w:rFonts w:ascii="仿宋_GB2312" w:hAnsi="仿宋_GB2312" w:cs="仿宋_GB2312" w:eastAsia="仿宋_GB2312"/>
                <w:sz w:val="24"/>
                <w:color w:val="000000"/>
              </w:rPr>
              <w:t>）</w:t>
            </w:r>
            <w:r>
              <w:rPr>
                <w:rFonts w:ascii="仿宋_GB2312" w:hAnsi="仿宋_GB2312" w:cs="仿宋_GB2312" w:eastAsia="仿宋_GB2312"/>
                <w:sz w:val="24"/>
                <w:color w:val="000000"/>
              </w:rPr>
              <w:t>国家质量标准的鲜肉、质量等级符合《中华人民共和国农业行业标准猪肉等级规格》（</w:t>
            </w:r>
            <w:r>
              <w:rPr>
                <w:rFonts w:ascii="仿宋_GB2312" w:hAnsi="仿宋_GB2312" w:cs="仿宋_GB2312" w:eastAsia="仿宋_GB2312"/>
                <w:sz w:val="24"/>
                <w:color w:val="000000"/>
              </w:rPr>
              <w:t>NY/T1759-2009）。</w:t>
            </w:r>
            <w:r>
              <w:rPr>
                <w:rFonts w:ascii="仿宋_GB2312" w:hAnsi="仿宋_GB2312" w:cs="仿宋_GB2312" w:eastAsia="仿宋_GB2312"/>
                <w:sz w:val="24"/>
                <w:color w:val="000000"/>
              </w:rPr>
              <w:t>活畜</w:t>
            </w:r>
            <w:r>
              <w:rPr>
                <w:rFonts w:ascii="仿宋_GB2312" w:hAnsi="仿宋_GB2312" w:cs="仿宋_GB2312" w:eastAsia="仿宋_GB2312"/>
                <w:sz w:val="24"/>
                <w:color w:val="000000"/>
              </w:rPr>
              <w:t>宰杀、加工后</w:t>
            </w:r>
            <w:r>
              <w:rPr>
                <w:rFonts w:ascii="仿宋_GB2312" w:hAnsi="仿宋_GB2312" w:cs="仿宋_GB2312" w:eastAsia="仿宋_GB2312"/>
                <w:sz w:val="24"/>
                <w:color w:val="000000"/>
              </w:rPr>
              <w:t>,不经过冷冻处理。严禁使用</w:t>
            </w:r>
            <w:r>
              <w:rPr>
                <w:rFonts w:ascii="仿宋_GB2312" w:hAnsi="仿宋_GB2312" w:cs="仿宋_GB2312" w:eastAsia="仿宋_GB2312"/>
                <w:sz w:val="24"/>
                <w:color w:val="000000"/>
              </w:rPr>
              <w:t>进口、</w:t>
            </w:r>
            <w:r>
              <w:rPr>
                <w:rFonts w:ascii="仿宋_GB2312" w:hAnsi="仿宋_GB2312" w:cs="仿宋_GB2312" w:eastAsia="仿宋_GB2312"/>
                <w:sz w:val="24"/>
                <w:color w:val="000000"/>
              </w:rPr>
              <w:t>注水、注胶、病猪、死猪、种公猪肉、种母猪肉、晚阉猪肉。食品安全标准符合《食品安全国家标准鲜</w:t>
            </w:r>
            <w:r>
              <w:rPr>
                <w:rFonts w:ascii="仿宋_GB2312" w:hAnsi="仿宋_GB2312" w:cs="仿宋_GB2312" w:eastAsia="仿宋_GB2312"/>
                <w:sz w:val="24"/>
                <w:color w:val="000000"/>
              </w:rPr>
              <w:t>(冻)畜、禽产品》（GB 2707-2016）、《食品安全国家标准食品污染物限量》（GB 2762-2022），</w:t>
            </w:r>
            <w:r>
              <w:rPr>
                <w:rFonts w:ascii="仿宋_GB2312" w:hAnsi="仿宋_GB2312" w:cs="仿宋_GB2312" w:eastAsia="仿宋_GB2312"/>
                <w:sz w:val="24"/>
              </w:rPr>
              <w:t>《食品安全国家标准食品中</w:t>
            </w:r>
            <w:r>
              <w:rPr>
                <w:rFonts w:ascii="仿宋_GB2312" w:hAnsi="仿宋_GB2312" w:cs="仿宋_GB2312" w:eastAsia="仿宋_GB2312"/>
                <w:sz w:val="24"/>
              </w:rPr>
              <w:t>41种</w:t>
            </w:r>
            <w:r>
              <w:rPr>
                <w:rFonts w:ascii="仿宋_GB2312" w:hAnsi="仿宋_GB2312" w:cs="仿宋_GB2312" w:eastAsia="仿宋_GB2312"/>
                <w:sz w:val="24"/>
              </w:rPr>
              <w:t>兽药最大残留限量》</w:t>
            </w:r>
            <w:r>
              <w:rPr>
                <w:rFonts w:ascii="仿宋_GB2312" w:hAnsi="仿宋_GB2312" w:cs="仿宋_GB2312" w:eastAsia="仿宋_GB2312"/>
                <w:sz w:val="24"/>
              </w:rPr>
              <w:t>（</w:t>
            </w:r>
            <w:r>
              <w:rPr>
                <w:rFonts w:ascii="仿宋_GB2312" w:hAnsi="仿宋_GB2312" w:cs="仿宋_GB2312" w:eastAsia="仿宋_GB2312"/>
                <w:sz w:val="24"/>
              </w:rPr>
              <w:t>GB31650.1-2022</w:t>
            </w:r>
            <w:r>
              <w:rPr>
                <w:rFonts w:ascii="仿宋_GB2312" w:hAnsi="仿宋_GB2312" w:cs="仿宋_GB2312" w:eastAsia="仿宋_GB2312"/>
                <w:sz w:val="24"/>
              </w:rPr>
              <w:t>）</w:t>
            </w:r>
            <w:r>
              <w:rPr>
                <w:rFonts w:ascii="仿宋_GB2312" w:hAnsi="仿宋_GB2312" w:cs="仿宋_GB2312" w:eastAsia="仿宋_GB2312"/>
                <w:sz w:val="24"/>
              </w:rPr>
              <w:t>标准。</w:t>
            </w:r>
            <w:r>
              <w:rPr>
                <w:rFonts w:ascii="仿宋_GB2312" w:hAnsi="仿宋_GB2312" w:cs="仿宋_GB2312" w:eastAsia="仿宋_GB2312"/>
                <w:sz w:val="24"/>
              </w:rPr>
              <w:t>（须单独提供承诺函的扫描件并加盖投标供应商的电子签章。承诺函格式自拟，但需体现项目名称、项目编号、供应商名称、所承诺事项内容等信息。）</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根据学生人数和食用量标准（每生每日</w:t>
            </w:r>
            <w:r>
              <w:rPr>
                <w:rFonts w:ascii="仿宋_GB2312" w:hAnsi="仿宋_GB2312" w:cs="仿宋_GB2312" w:eastAsia="仿宋_GB2312"/>
                <w:sz w:val="24"/>
              </w:rPr>
              <w:t>约</w:t>
            </w:r>
            <w:r>
              <w:rPr>
                <w:rFonts w:ascii="仿宋_GB2312" w:hAnsi="仿宋_GB2312" w:cs="仿宋_GB2312" w:eastAsia="仿宋_GB2312"/>
                <w:sz w:val="24"/>
              </w:rPr>
              <w:t>100克），满足全区学校要求的分割猪肉</w:t>
            </w:r>
            <w:r>
              <w:rPr>
                <w:rFonts w:ascii="仿宋_GB2312" w:hAnsi="仿宋_GB2312" w:cs="仿宋_GB2312" w:eastAsia="仿宋_GB2312"/>
                <w:sz w:val="24"/>
              </w:rPr>
              <w:t>。</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当日</w:t>
            </w:r>
            <w:r>
              <w:rPr>
                <w:rFonts w:ascii="仿宋_GB2312" w:hAnsi="仿宋_GB2312" w:cs="仿宋_GB2312" w:eastAsia="仿宋_GB2312"/>
                <w:sz w:val="24"/>
              </w:rPr>
              <w:t>宰杀。</w:t>
            </w:r>
            <w:r>
              <w:rPr>
                <w:rFonts w:ascii="仿宋_GB2312" w:hAnsi="仿宋_GB2312" w:cs="仿宋_GB2312" w:eastAsia="仿宋_GB2312"/>
                <w:sz w:val="24"/>
              </w:rPr>
              <w:t>前</w:t>
            </w:r>
            <w:r>
              <w:rPr>
                <w:rFonts w:ascii="仿宋_GB2312" w:hAnsi="仿宋_GB2312" w:cs="仿宋_GB2312" w:eastAsia="仿宋_GB2312"/>
                <w:sz w:val="24"/>
              </w:rPr>
              <w:t>后夹子肉（带皮后腿肉</w:t>
            </w:r>
            <w:r>
              <w:rPr>
                <w:rFonts w:ascii="仿宋_GB2312" w:hAnsi="仿宋_GB2312" w:cs="仿宋_GB2312" w:eastAsia="仿宋_GB2312"/>
                <w:sz w:val="24"/>
              </w:rPr>
              <w:t>）；五花肉（肋条肉）；排骨（</w:t>
            </w:r>
            <w:r>
              <w:rPr>
                <w:rFonts w:ascii="仿宋_GB2312" w:hAnsi="仿宋_GB2312" w:cs="仿宋_GB2312" w:eastAsia="仿宋_GB2312"/>
                <w:sz w:val="24"/>
              </w:rPr>
              <w:t>肋排</w:t>
            </w:r>
            <w:r>
              <w:rPr>
                <w:rFonts w:ascii="仿宋_GB2312" w:hAnsi="仿宋_GB2312" w:cs="仿宋_GB2312" w:eastAsia="仿宋_GB2312"/>
                <w:sz w:val="24"/>
              </w:rPr>
              <w:t>）；精瘦肉（纯瘦肉）；肥厚满足学生营养需求。送货时该批次肉类符合生猪溯源体系的要求</w:t>
            </w:r>
            <w:r>
              <w:rPr>
                <w:rFonts w:ascii="仿宋_GB2312" w:hAnsi="仿宋_GB2312" w:cs="仿宋_GB2312" w:eastAsia="仿宋_GB2312"/>
                <w:sz w:val="24"/>
              </w:rPr>
              <w:t>，附带产地动物卫生机构出具的《动物检疫合格证明》，并有</w:t>
            </w:r>
            <w:r>
              <w:rPr>
                <w:rFonts w:ascii="仿宋_GB2312" w:hAnsi="仿宋_GB2312" w:cs="仿宋_GB2312" w:eastAsia="仿宋_GB2312"/>
                <w:sz w:val="24"/>
              </w:rPr>
              <w:t>“生猪屠宰检疫讫印章、肉品品质检验合格章”。</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使用专用冷链运输车辆或冷藏运输车辆，当日上午</w:t>
            </w:r>
            <w:r>
              <w:rPr>
                <w:rFonts w:ascii="仿宋_GB2312" w:hAnsi="仿宋_GB2312" w:cs="仿宋_GB2312" w:eastAsia="仿宋_GB2312"/>
                <w:sz w:val="24"/>
              </w:rPr>
              <w:t>6时前配送到各个项目学校。</w:t>
            </w:r>
            <w:r>
              <w:rPr>
                <w:rFonts w:ascii="仿宋_GB2312" w:hAnsi="仿宋_GB2312" w:cs="仿宋_GB2312" w:eastAsia="仿宋_GB2312"/>
                <w:sz w:val="24"/>
              </w:rPr>
              <w:t>（</w:t>
            </w:r>
            <w:r>
              <w:rPr>
                <w:rFonts w:ascii="仿宋_GB2312" w:hAnsi="仿宋_GB2312" w:cs="仿宋_GB2312" w:eastAsia="仿宋_GB2312"/>
                <w:sz w:val="24"/>
              </w:rPr>
              <w:t>须单独提供承诺函的扫描件并加盖投标供应商的电子签章。承诺函格式自拟，但需体现项目名称、项目编号、供应商名称、所承诺事项内容等信息）</w:t>
            </w:r>
          </w:p>
          <w:p>
            <w:pPr>
              <w:pStyle w:val="null3"/>
              <w:ind w:firstLine="46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主要参数</w:t>
            </w:r>
            <w:r>
              <w:rPr>
                <w:rFonts w:ascii="仿宋_GB2312" w:hAnsi="仿宋_GB2312" w:cs="仿宋_GB2312" w:eastAsia="仿宋_GB2312"/>
                <w:sz w:val="24"/>
              </w:rPr>
              <w:t>列表</w:t>
            </w:r>
          </w:p>
          <w:tbl>
            <w:tblPr>
              <w:tblBorders>
                <w:top w:val="none" w:color="000000" w:sz="4"/>
                <w:left w:val="none" w:color="000000" w:sz="4"/>
                <w:bottom w:val="none" w:color="000000" w:sz="4"/>
                <w:right w:val="none" w:color="000000" w:sz="4"/>
                <w:insideH w:val="none"/>
                <w:insideV w:val="none"/>
              </w:tblBorders>
            </w:tblPr>
            <w:tblGrid>
              <w:gridCol w:w="793"/>
              <w:gridCol w:w="1337"/>
              <w:gridCol w:w="802"/>
              <w:gridCol w:w="2646"/>
            </w:tblGrid>
            <w:tr>
              <w:tc>
                <w:tcPr>
                  <w:tcW w:type="dxa" w:w="7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r>
                    <w:rPr>
                      <w:rFonts w:ascii="仿宋_GB2312" w:hAnsi="仿宋_GB2312" w:cs="仿宋_GB2312" w:eastAsia="仿宋_GB2312"/>
                      <w:sz w:val="24"/>
                      <w:b/>
                      <w:color w:val="000000"/>
                    </w:rPr>
                    <w:t>名称</w:t>
                  </w:r>
                </w:p>
              </w:tc>
              <w:tc>
                <w:tcPr>
                  <w:tcW w:type="dxa" w:w="8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指标</w:t>
                  </w:r>
                </w:p>
              </w:tc>
              <w:tc>
                <w:tcPr>
                  <w:tcW w:type="dxa" w:w="26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w:t>
                  </w:r>
                  <w:r>
                    <w:rPr>
                      <w:rFonts w:ascii="仿宋_GB2312" w:hAnsi="仿宋_GB2312" w:cs="仿宋_GB2312" w:eastAsia="仿宋_GB2312"/>
                      <w:sz w:val="24"/>
                      <w:b/>
                      <w:color w:val="000000"/>
                    </w:rPr>
                    <w:t>要求</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挥发性盐基氮（</w:t>
                  </w:r>
                  <w:r>
                    <w:rPr>
                      <w:rFonts w:ascii="仿宋_GB2312" w:hAnsi="仿宋_GB2312" w:cs="仿宋_GB2312" w:eastAsia="仿宋_GB2312"/>
                      <w:sz w:val="24"/>
                      <w:color w:val="000000"/>
                    </w:rPr>
                    <w:t>mg/100g）</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624"/>
                    <w:jc w:val="both"/>
                  </w:pPr>
                  <w:r>
                    <w:rPr>
                      <w:rFonts w:ascii="仿宋_GB2312" w:hAnsi="仿宋_GB2312" w:cs="仿宋_GB2312" w:eastAsia="仿宋_GB2312"/>
                      <w:sz w:val="24"/>
                      <w:color w:val="000000"/>
                    </w:rPr>
                    <w:t>≤15</w:t>
                  </w:r>
                  <w:r>
                    <w:rPr>
                      <w:rFonts w:ascii="仿宋_GB2312" w:hAnsi="仿宋_GB2312" w:cs="仿宋_GB2312" w:eastAsia="仿宋_GB2312"/>
                      <w:sz w:val="19"/>
                    </w:rPr>
                    <w:t xml:space="preserve"> </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鲜猪肉</w:t>
                  </w:r>
                </w:p>
                <w:p>
                  <w:pPr>
                    <w:pStyle w:val="null3"/>
                    <w:jc w:val="center"/>
                  </w:pPr>
                  <w:r>
                    <w:rPr>
                      <w:rFonts w:ascii="仿宋_GB2312" w:hAnsi="仿宋_GB2312" w:cs="仿宋_GB2312" w:eastAsia="仿宋_GB2312"/>
                      <w:sz w:val="24"/>
                      <w:color w:val="000000"/>
                    </w:rPr>
                    <w:t>感官</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色泽</w:t>
                  </w:r>
                </w:p>
              </w:tc>
              <w:tc>
                <w:tcPr>
                  <w:tcW w:type="dxa" w:w="2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肌肉色泽鲜红或深红</w:t>
                  </w:r>
                  <w:r>
                    <w:rPr>
                      <w:rFonts w:ascii="仿宋_GB2312" w:hAnsi="仿宋_GB2312" w:cs="仿宋_GB2312" w:eastAsia="仿宋_GB2312"/>
                      <w:sz w:val="24"/>
                      <w:color w:val="000000"/>
                    </w:rPr>
                    <w:t>,有光泽;脂肪呈乳白色或粉白色。</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337"/>
                  <w:vMerge/>
                  <w:tcBorders>
                    <w:top w:val="none" w:color="000000" w:sz="4"/>
                    <w:left w:val="non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弹性</w:t>
                  </w:r>
                  <w:r>
                    <w:rPr>
                      <w:rFonts w:ascii="仿宋_GB2312" w:hAnsi="仿宋_GB2312" w:cs="仿宋_GB2312" w:eastAsia="仿宋_GB2312"/>
                      <w:sz w:val="24"/>
                      <w:color w:val="000000"/>
                    </w:rPr>
                    <w:t>(组织状态)</w:t>
                  </w:r>
                </w:p>
              </w:tc>
              <w:tc>
                <w:tcPr>
                  <w:tcW w:type="dxa" w:w="2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指压后的凹陷立即恢复。</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37"/>
                  <w:vMerge/>
                  <w:tcBorders>
                    <w:top w:val="none" w:color="000000" w:sz="4"/>
                    <w:left w:val="non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黏度</w:t>
                  </w:r>
                </w:p>
              </w:tc>
              <w:tc>
                <w:tcPr>
                  <w:tcW w:type="dxa" w:w="2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外表微干或微湿润</w:t>
                  </w:r>
                  <w:r>
                    <w:rPr>
                      <w:rFonts w:ascii="仿宋_GB2312" w:hAnsi="仿宋_GB2312" w:cs="仿宋_GB2312" w:eastAsia="仿宋_GB2312"/>
                      <w:sz w:val="24"/>
                    </w:rPr>
                    <w:t>,不黏手。</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337"/>
                  <w:vMerge/>
                  <w:tcBorders>
                    <w:top w:val="none" w:color="000000" w:sz="4"/>
                    <w:left w:val="none" w:color="000000" w:sz="4"/>
                    <w:bottom w:val="single" w:color="000000" w:sz="4"/>
                    <w:right w:val="single" w:color="000000" w:sz="4"/>
                  </w:tcBorders>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气味</w:t>
                  </w:r>
                </w:p>
              </w:tc>
              <w:tc>
                <w:tcPr>
                  <w:tcW w:type="dxa" w:w="2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具有鲜猪肉正常气味，煮沸后肉汤透明澄清，脂肪团聚于液面</w:t>
                  </w:r>
                  <w:r>
                    <w:rPr>
                      <w:rFonts w:ascii="仿宋_GB2312" w:hAnsi="仿宋_GB2312" w:cs="仿宋_GB2312" w:eastAsia="仿宋_GB2312"/>
                      <w:sz w:val="24"/>
                      <w:color w:val="000000"/>
                    </w:rPr>
                    <w:t>,具有香味。</w:t>
                  </w:r>
                </w:p>
              </w:tc>
            </w:tr>
            <w:tr>
              <w:tc>
                <w:tcPr>
                  <w:tcW w:type="dxa" w:w="55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备注：以上</w:t>
                  </w:r>
                  <w:r>
                    <w:rPr>
                      <w:rFonts w:ascii="仿宋_GB2312" w:hAnsi="仿宋_GB2312" w:cs="仿宋_GB2312" w:eastAsia="仿宋_GB2312"/>
                      <w:sz w:val="32"/>
                      <w:color w:val="000000"/>
                    </w:rPr>
                    <w:t>5项主要参数供应商必须响应，并提供</w:t>
                  </w:r>
                  <w:r>
                    <w:rPr>
                      <w:rFonts w:ascii="仿宋_GB2312" w:hAnsi="仿宋_GB2312" w:cs="仿宋_GB2312" w:eastAsia="仿宋_GB2312"/>
                      <w:sz w:val="32"/>
                      <w:color w:val="000000"/>
                    </w:rPr>
                    <w:t>带有</w:t>
                  </w:r>
                  <w:r>
                    <w:rPr>
                      <w:rFonts w:ascii="仿宋_GB2312" w:hAnsi="仿宋_GB2312" w:cs="仿宋_GB2312" w:eastAsia="仿宋_GB2312"/>
                      <w:sz w:val="32"/>
                      <w:color w:val="000000"/>
                    </w:rPr>
                    <w:t>C</w:t>
                  </w:r>
                  <w:r>
                    <w:rPr>
                      <w:rFonts w:ascii="仿宋_GB2312" w:hAnsi="仿宋_GB2312" w:cs="仿宋_GB2312" w:eastAsia="仿宋_GB2312"/>
                      <w:sz w:val="32"/>
                      <w:color w:val="000000"/>
                    </w:rPr>
                    <w:t>MA标志的检测报告</w:t>
                  </w:r>
                  <w:r>
                    <w:rPr>
                      <w:rFonts w:ascii="仿宋_GB2312" w:hAnsi="仿宋_GB2312" w:cs="仿宋_GB2312" w:eastAsia="仿宋_GB2312"/>
                      <w:sz w:val="32"/>
                      <w:color w:val="000000"/>
                    </w:rPr>
                    <w:t>（报告内容须包含以上</w:t>
                  </w:r>
                  <w:r>
                    <w:rPr>
                      <w:rFonts w:ascii="仿宋_GB2312" w:hAnsi="仿宋_GB2312" w:cs="仿宋_GB2312" w:eastAsia="仿宋_GB2312"/>
                      <w:sz w:val="32"/>
                      <w:color w:val="000000"/>
                    </w:rPr>
                    <w:t>5项指标）</w:t>
                  </w:r>
                  <w:r>
                    <w:rPr>
                      <w:rFonts w:ascii="仿宋_GB2312" w:hAnsi="仿宋_GB2312" w:cs="仿宋_GB2312" w:eastAsia="仿宋_GB2312"/>
                      <w:sz w:val="32"/>
                      <w:b/>
                      <w:color w:val="000000"/>
                    </w:rPr>
                    <w:t>。</w:t>
                  </w:r>
                  <w:r>
                    <w:rPr>
                      <w:rFonts w:ascii="仿宋_GB2312" w:hAnsi="仿宋_GB2312" w:cs="仿宋_GB2312" w:eastAsia="仿宋_GB2312"/>
                      <w:sz w:val="32"/>
                      <w:color w:val="000000"/>
                    </w:rPr>
                    <w:t>”</w:t>
                  </w:r>
                </w:p>
              </w:tc>
            </w:tr>
          </w:tbl>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ind w:firstLine="482"/>
              <w:jc w:val="center"/>
            </w:pPr>
            <w:r>
              <w:rPr>
                <w:rFonts w:ascii="仿宋_GB2312" w:hAnsi="仿宋_GB2312" w:cs="仿宋_GB2312" w:eastAsia="仿宋_GB2312"/>
                <w:sz w:val="24"/>
                <w:b/>
              </w:rPr>
              <w:t>一、其他要求</w:t>
            </w:r>
          </w:p>
          <w:p>
            <w:pPr>
              <w:pStyle w:val="null3"/>
              <w:ind w:firstLine="480"/>
              <w:jc w:val="both"/>
            </w:pPr>
            <w:r>
              <w:rPr>
                <w:rFonts w:ascii="仿宋_GB2312" w:hAnsi="仿宋_GB2312" w:cs="仿宋_GB2312" w:eastAsia="仿宋_GB2312"/>
                <w:sz w:val="24"/>
              </w:rPr>
              <w:t>1.配送方式：供应商必须按学校报的计划，准时无误的配送到各学校。在配送过程中如有破损、污染或其它质量等问题，供应商无条件更换，配送时供货商应负责送到指定学校仓库按照相应产品的仓储规范堆放整齐，在堆放整齐前的一切安全等责任由供应商全权负责。</w:t>
            </w:r>
          </w:p>
          <w:p>
            <w:pPr>
              <w:pStyle w:val="null3"/>
              <w:ind w:firstLine="480"/>
              <w:jc w:val="both"/>
            </w:pPr>
            <w:r>
              <w:rPr>
                <w:rFonts w:ascii="仿宋_GB2312" w:hAnsi="仿宋_GB2312" w:cs="仿宋_GB2312" w:eastAsia="仿宋_GB2312"/>
                <w:sz w:val="24"/>
              </w:rPr>
              <w:t>2.结算方式：(1)在配送期间内猪肉鲜活产品，市场价格波动较大，合同期内按四川省发展和改革委员会</w:t>
            </w:r>
            <w:r>
              <w:rPr>
                <w:rFonts w:ascii="仿宋_GB2312" w:hAnsi="仿宋_GB2312" w:cs="仿宋_GB2312" w:eastAsia="仿宋_GB2312"/>
                <w:sz w:val="24"/>
              </w:rPr>
              <w:t>官网（</w:t>
            </w:r>
            <w:r>
              <w:rPr>
                <w:rFonts w:ascii="仿宋_GB2312" w:hAnsi="仿宋_GB2312" w:cs="仿宋_GB2312" w:eastAsia="仿宋_GB2312"/>
                <w:sz w:val="24"/>
              </w:rPr>
              <w:t>https://fgw.sc.gov.cn/）</w:t>
            </w:r>
            <w:r>
              <w:rPr>
                <w:rFonts w:ascii="仿宋_GB2312" w:hAnsi="仿宋_GB2312" w:cs="仿宋_GB2312" w:eastAsia="仿宋_GB2312"/>
                <w:sz w:val="24"/>
              </w:rPr>
              <w:t>每月发布的《四川省城市居民食品价格监测表）价格为基础，按中标时的下浮比例分类据实结算，合同期间内不进行价格调整。</w:t>
            </w:r>
            <w:r>
              <w:rPr>
                <w:rFonts w:ascii="仿宋_GB2312" w:hAnsi="仿宋_GB2312" w:cs="仿宋_GB2312" w:eastAsia="仿宋_GB2312"/>
                <w:sz w:val="24"/>
              </w:rPr>
              <w:t>(2)具体配送数量以学校实际使用的为准。</w:t>
            </w:r>
          </w:p>
          <w:p>
            <w:pPr>
              <w:pStyle w:val="null3"/>
              <w:ind w:firstLine="480"/>
              <w:jc w:val="both"/>
            </w:pPr>
            <w:r>
              <w:rPr>
                <w:rFonts w:ascii="仿宋_GB2312" w:hAnsi="仿宋_GB2312" w:cs="仿宋_GB2312" w:eastAsia="仿宋_GB2312"/>
                <w:sz w:val="24"/>
              </w:rPr>
              <w:t>3.中标供应商与采购人签订合同前，需向采购人提供食品安全承诺书（格式自拟）。</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供应商若中标后，应当在采购人当地成立专门服务机构，建立满足采购需求的配送机构，</w:t>
            </w:r>
            <w:r>
              <w:rPr>
                <w:rFonts w:ascii="仿宋_GB2312" w:hAnsi="仿宋_GB2312" w:cs="仿宋_GB2312" w:eastAsia="仿宋_GB2312"/>
                <w:sz w:val="24"/>
              </w:rPr>
              <w:t>确保配送区域内每一所学校都有合理的配送路线，按照学校要求按时按量配送到位。</w:t>
            </w:r>
          </w:p>
          <w:p>
            <w:pPr>
              <w:pStyle w:val="null3"/>
              <w:ind w:firstLine="480"/>
              <w:jc w:val="both"/>
            </w:pPr>
            <w:r>
              <w:rPr>
                <w:rFonts w:ascii="仿宋_GB2312" w:hAnsi="仿宋_GB2312" w:cs="仿宋_GB2312" w:eastAsia="仿宋_GB2312"/>
                <w:sz w:val="24"/>
              </w:rPr>
              <w:t>5.供应商若中标后，应配备满足采购需求的售后人员和配送人员以及配送车辆，确保配送效率。</w:t>
            </w:r>
          </w:p>
          <w:p>
            <w:pPr>
              <w:pStyle w:val="null3"/>
              <w:ind w:firstLine="480"/>
              <w:jc w:val="both"/>
            </w:pPr>
            <w:r>
              <w:rPr>
                <w:rFonts w:ascii="仿宋_GB2312" w:hAnsi="仿宋_GB2312" w:cs="仿宋_GB2312" w:eastAsia="仿宋_GB2312"/>
                <w:sz w:val="24"/>
              </w:rPr>
              <w:t>6.供应商若中标后，每学期定期或不定期接受相关职能部门抽样检验，并按要求提供有关档案材料。</w:t>
            </w:r>
          </w:p>
          <w:p>
            <w:pPr>
              <w:pStyle w:val="null3"/>
              <w:ind w:firstLine="480"/>
              <w:jc w:val="both"/>
            </w:pPr>
            <w:r>
              <w:rPr>
                <w:rFonts w:ascii="仿宋_GB2312" w:hAnsi="仿宋_GB2312" w:cs="仿宋_GB2312" w:eastAsia="仿宋_GB2312"/>
                <w:sz w:val="24"/>
              </w:rPr>
              <w:t>7.供应商若中标后，协助采购人开展食品安全宣传和培训工作。</w:t>
            </w:r>
          </w:p>
          <w:p>
            <w:pPr>
              <w:pStyle w:val="null3"/>
              <w:ind w:firstLine="480"/>
              <w:jc w:val="both"/>
            </w:pPr>
            <w:r>
              <w:rPr>
                <w:rFonts w:ascii="仿宋_GB2312" w:hAnsi="仿宋_GB2312" w:cs="仿宋_GB2312" w:eastAsia="仿宋_GB2312"/>
                <w:sz w:val="24"/>
              </w:rPr>
              <w:t>8.若因实施的学校在校学生人数自然减少时或因不可抗力事件导致食用天数减少时，将按照在校学生实际食用人数和食用天数配送。</w:t>
            </w:r>
          </w:p>
          <w:p>
            <w:pPr>
              <w:pStyle w:val="null3"/>
              <w:ind w:firstLine="480"/>
              <w:jc w:val="both"/>
            </w:pPr>
            <w:r>
              <w:rPr>
                <w:rFonts w:ascii="仿宋_GB2312" w:hAnsi="仿宋_GB2312" w:cs="仿宋_GB2312" w:eastAsia="仿宋_GB2312"/>
                <w:sz w:val="24"/>
              </w:rPr>
              <w:t>9.配送方案。（包括：①配送人员分工；②配送人员职责；③配送车辆配置；④配送线路规划；⑤配送应急措施；⑥配送服务承诺等。）</w:t>
            </w:r>
          </w:p>
          <w:p>
            <w:pPr>
              <w:pStyle w:val="null3"/>
              <w:ind w:firstLine="480"/>
              <w:jc w:val="both"/>
            </w:pPr>
            <w:r>
              <w:rPr>
                <w:rFonts w:ascii="仿宋_GB2312" w:hAnsi="仿宋_GB2312" w:cs="仿宋_GB2312" w:eastAsia="仿宋_GB2312"/>
                <w:sz w:val="24"/>
              </w:rPr>
              <w:t>10.售后服务方案。（包括：①服务机构设置；②售后服务响应时间；③售后人员的配置；④售后网点的配置；⑤售后保障措施；⑥售后服务承诺等。）</w:t>
            </w:r>
          </w:p>
          <w:p>
            <w:pPr>
              <w:pStyle w:val="null3"/>
              <w:ind w:firstLine="480"/>
              <w:jc w:val="both"/>
            </w:pPr>
            <w:r>
              <w:rPr>
                <w:rFonts w:ascii="仿宋_GB2312" w:hAnsi="仿宋_GB2312" w:cs="仿宋_GB2312" w:eastAsia="仿宋_GB2312"/>
                <w:sz w:val="24"/>
              </w:rPr>
              <w:t>11.安全应急方案。（包括：①应急组织机构与职责；②应急响应措施；③应急保障预案；④食品安全追溯体系等。）</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32"/>
                <w:color w:val="000000"/>
              </w:rPr>
              <w:t>“</w:t>
            </w:r>
            <w:r>
              <w:rPr>
                <w:rFonts w:ascii="仿宋_GB2312" w:hAnsi="仿宋_GB2312" w:cs="仿宋_GB2312" w:eastAsia="仿宋_GB2312"/>
                <w:sz w:val="32"/>
                <w:color w:val="000000"/>
              </w:rPr>
              <w:t>安全责任：投标人针对所投产品的食品安全保</w:t>
            </w:r>
            <w:r>
              <w:rPr>
                <w:rFonts w:ascii="仿宋_GB2312" w:hAnsi="仿宋_GB2312" w:cs="仿宋_GB2312" w:eastAsia="仿宋_GB2312"/>
                <w:sz w:val="32"/>
                <w:color w:val="000000"/>
              </w:rPr>
              <w:t>障提供食品安全责任保单</w:t>
            </w:r>
            <w:r>
              <w:rPr>
                <w:rFonts w:ascii="仿宋_GB2312" w:hAnsi="仿宋_GB2312" w:cs="仿宋_GB2312" w:eastAsia="仿宋_GB2312"/>
                <w:sz w:val="32"/>
                <w:color w:val="000000"/>
              </w:rPr>
              <w:t>，</w:t>
            </w:r>
            <w:r>
              <w:rPr>
                <w:rFonts w:ascii="仿宋_GB2312" w:hAnsi="仿宋_GB2312" w:cs="仿宋_GB2312" w:eastAsia="仿宋_GB2312"/>
                <w:sz w:val="32"/>
                <w:color w:val="000000"/>
              </w:rPr>
              <w:t>保额</w:t>
            </w:r>
            <w:r>
              <w:rPr>
                <w:rFonts w:ascii="仿宋_GB2312" w:hAnsi="仿宋_GB2312" w:cs="仿宋_GB2312" w:eastAsia="仿宋_GB2312"/>
                <w:sz w:val="32"/>
                <w:color w:val="000000"/>
              </w:rPr>
              <w:t>≥3000万</w:t>
            </w:r>
            <w:r>
              <w:rPr>
                <w:rFonts w:ascii="仿宋_GB2312" w:hAnsi="仿宋_GB2312" w:cs="仿宋_GB2312" w:eastAsia="仿宋_GB2312"/>
                <w:sz w:val="32"/>
                <w:color w:val="000000"/>
              </w:rPr>
              <w:t>。</w:t>
            </w:r>
            <w:r>
              <w:rPr>
                <w:rFonts w:ascii="仿宋_GB2312" w:hAnsi="仿宋_GB2312" w:cs="仿宋_GB2312" w:eastAsia="仿宋_GB2312"/>
                <w:sz w:val="32"/>
                <w:color w:val="000000"/>
              </w:rPr>
              <w:t>”</w:t>
            </w:r>
          </w:p>
          <w:p>
            <w:pPr>
              <w:pStyle w:val="null3"/>
              <w:ind w:firstLine="480"/>
              <w:jc w:val="both"/>
            </w:pPr>
            <w:r>
              <w:rPr>
                <w:rFonts w:ascii="仿宋_GB2312" w:hAnsi="仿宋_GB2312" w:cs="仿宋_GB2312" w:eastAsia="仿宋_GB2312"/>
                <w:sz w:val="24"/>
              </w:rPr>
              <w:t>13.履约保障能力</w:t>
            </w:r>
          </w:p>
          <w:p>
            <w:pPr>
              <w:pStyle w:val="null3"/>
              <w:ind w:firstLine="480"/>
              <w:jc w:val="both"/>
            </w:pPr>
            <w:r>
              <w:rPr>
                <w:rFonts w:ascii="仿宋_GB2312" w:hAnsi="仿宋_GB2312" w:cs="仿宋_GB2312" w:eastAsia="仿宋_GB2312"/>
                <w:sz w:val="24"/>
              </w:rPr>
              <w:t>13.1投标人提供</w:t>
            </w:r>
            <w:r>
              <w:rPr>
                <w:rFonts w:ascii="仿宋_GB2312" w:hAnsi="仿宋_GB2312" w:cs="仿宋_GB2312" w:eastAsia="仿宋_GB2312"/>
                <w:sz w:val="24"/>
              </w:rPr>
              <w:t>2022</w:t>
            </w:r>
            <w:r>
              <w:rPr>
                <w:rFonts w:ascii="仿宋_GB2312" w:hAnsi="仿宋_GB2312" w:cs="仿宋_GB2312" w:eastAsia="仿宋_GB2312"/>
                <w:sz w:val="24"/>
              </w:rPr>
              <w:t>年</w:t>
            </w:r>
            <w:r>
              <w:rPr>
                <w:rFonts w:ascii="仿宋_GB2312" w:hAnsi="仿宋_GB2312" w:cs="仿宋_GB2312" w:eastAsia="仿宋_GB2312"/>
                <w:sz w:val="24"/>
              </w:rPr>
              <w:t>1月1日（含）以来具有同类项目的履约经验。</w:t>
            </w:r>
          </w:p>
          <w:p>
            <w:pPr>
              <w:pStyle w:val="null3"/>
              <w:ind w:firstLine="480"/>
              <w:jc w:val="both"/>
            </w:pPr>
            <w:r>
              <w:rPr>
                <w:rFonts w:ascii="仿宋_GB2312" w:hAnsi="仿宋_GB2312" w:cs="仿宋_GB2312" w:eastAsia="仿宋_GB2312"/>
                <w:sz w:val="24"/>
              </w:rPr>
              <w:t>13.2投标人需具备</w:t>
            </w:r>
          </w:p>
          <w:p>
            <w:pPr>
              <w:pStyle w:val="null3"/>
              <w:ind w:firstLine="480"/>
              <w:jc w:val="both"/>
            </w:pPr>
            <w:r>
              <w:rPr>
                <w:rFonts w:ascii="仿宋_GB2312" w:hAnsi="仿宋_GB2312" w:cs="仿宋_GB2312" w:eastAsia="仿宋_GB2312"/>
                <w:sz w:val="24"/>
              </w:rPr>
              <w:t>13.2.1仓储设施：</w:t>
            </w:r>
            <w:r>
              <w:rPr>
                <w:rFonts w:ascii="仿宋_GB2312" w:hAnsi="仿宋_GB2312" w:cs="仿宋_GB2312" w:eastAsia="仿宋_GB2312"/>
                <w:sz w:val="21"/>
              </w:rPr>
              <w:t>“</w:t>
            </w:r>
            <w:r>
              <w:rPr>
                <w:rFonts w:ascii="仿宋_GB2312" w:hAnsi="仿宋_GB2312" w:cs="仿宋_GB2312" w:eastAsia="仿宋_GB2312"/>
                <w:sz w:val="21"/>
                <w:color w:val="000000"/>
              </w:rPr>
              <w:t>租赁</w:t>
            </w:r>
            <w:r>
              <w:rPr>
                <w:rFonts w:ascii="仿宋_GB2312" w:hAnsi="仿宋_GB2312" w:cs="仿宋_GB2312" w:eastAsia="仿宋_GB2312"/>
                <w:sz w:val="21"/>
                <w:color w:val="000000"/>
              </w:rPr>
              <w:t>的（带网络监控视频）</w:t>
            </w:r>
            <w:r>
              <w:rPr>
                <w:rFonts w:ascii="仿宋_GB2312" w:hAnsi="仿宋_GB2312" w:cs="仿宋_GB2312" w:eastAsia="仿宋_GB2312"/>
                <w:sz w:val="21"/>
                <w:color w:val="000000"/>
              </w:rPr>
              <w:t>提供仓储设施图片</w:t>
            </w:r>
            <w:r>
              <w:rPr>
                <w:rFonts w:ascii="仿宋_GB2312" w:hAnsi="仿宋_GB2312" w:cs="仿宋_GB2312" w:eastAsia="仿宋_GB2312"/>
                <w:sz w:val="21"/>
                <w:color w:val="000000"/>
              </w:rPr>
              <w:t>和</w:t>
            </w:r>
            <w:r>
              <w:rPr>
                <w:rFonts w:ascii="仿宋_GB2312" w:hAnsi="仿宋_GB2312" w:cs="仿宋_GB2312" w:eastAsia="仿宋_GB2312"/>
                <w:sz w:val="21"/>
                <w:color w:val="000000"/>
              </w:rPr>
              <w:t>租赁合同</w:t>
            </w:r>
            <w:r>
              <w:rPr>
                <w:rFonts w:ascii="仿宋_GB2312" w:hAnsi="仿宋_GB2312" w:cs="仿宋_GB2312" w:eastAsia="仿宋_GB2312"/>
                <w:sz w:val="21"/>
                <w:color w:val="000000"/>
              </w:rPr>
              <w:t>；</w:t>
            </w:r>
            <w:r>
              <w:rPr>
                <w:rFonts w:ascii="仿宋_GB2312" w:hAnsi="仿宋_GB2312" w:cs="仿宋_GB2312" w:eastAsia="仿宋_GB2312"/>
                <w:sz w:val="21"/>
                <w:color w:val="000000"/>
              </w:rPr>
              <w:t>自有的</w:t>
            </w:r>
            <w:r>
              <w:rPr>
                <w:rFonts w:ascii="仿宋_GB2312" w:hAnsi="仿宋_GB2312" w:cs="仿宋_GB2312" w:eastAsia="仿宋_GB2312"/>
                <w:sz w:val="21"/>
                <w:color w:val="000000"/>
              </w:rPr>
              <w:t>（带网络监控视频）提供</w:t>
            </w:r>
            <w:r>
              <w:rPr>
                <w:rFonts w:ascii="仿宋_GB2312" w:hAnsi="仿宋_GB2312" w:cs="仿宋_GB2312" w:eastAsia="仿宋_GB2312"/>
                <w:sz w:val="21"/>
                <w:color w:val="000000"/>
              </w:rPr>
              <w:t>仓储设施</w:t>
            </w:r>
            <w:r>
              <w:rPr>
                <w:rFonts w:ascii="仿宋_GB2312" w:hAnsi="仿宋_GB2312" w:cs="仿宋_GB2312" w:eastAsia="仿宋_GB2312"/>
                <w:sz w:val="21"/>
                <w:color w:val="000000"/>
              </w:rPr>
              <w:t>图片</w:t>
            </w:r>
            <w:r>
              <w:rPr>
                <w:rFonts w:ascii="仿宋_GB2312" w:hAnsi="仿宋_GB2312" w:cs="仿宋_GB2312" w:eastAsia="仿宋_GB2312"/>
                <w:sz w:val="21"/>
                <w:color w:val="000000"/>
              </w:rPr>
              <w:t>和</w:t>
            </w:r>
            <w:r>
              <w:rPr>
                <w:rFonts w:ascii="仿宋_GB2312" w:hAnsi="仿宋_GB2312" w:cs="仿宋_GB2312" w:eastAsia="仿宋_GB2312"/>
                <w:sz w:val="21"/>
                <w:color w:val="000000"/>
              </w:rPr>
              <w:t>房屋产权证明或买卖合同。</w:t>
            </w:r>
            <w:r>
              <w:rPr>
                <w:rFonts w:ascii="仿宋_GB2312" w:hAnsi="仿宋_GB2312" w:cs="仿宋_GB2312" w:eastAsia="仿宋_GB2312"/>
                <w:sz w:val="21"/>
                <w:color w:val="000000"/>
              </w:rPr>
              <w:t>”</w:t>
            </w:r>
          </w:p>
          <w:p>
            <w:pPr>
              <w:pStyle w:val="null3"/>
              <w:ind w:firstLine="480"/>
              <w:jc w:val="both"/>
            </w:pPr>
            <w:r>
              <w:rPr>
                <w:rFonts w:ascii="仿宋_GB2312" w:hAnsi="仿宋_GB2312" w:cs="仿宋_GB2312" w:eastAsia="仿宋_GB2312"/>
                <w:sz w:val="24"/>
              </w:rPr>
              <w:t>13.2.2</w:t>
            </w:r>
            <w:r>
              <w:rPr>
                <w:rFonts w:ascii="仿宋_GB2312" w:hAnsi="仿宋_GB2312" w:cs="仿宋_GB2312" w:eastAsia="仿宋_GB2312"/>
                <w:sz w:val="21"/>
                <w:color w:val="000000"/>
              </w:rPr>
              <w:t>“</w:t>
            </w:r>
            <w:r>
              <w:rPr>
                <w:rFonts w:ascii="仿宋_GB2312" w:hAnsi="仿宋_GB2312" w:cs="仿宋_GB2312" w:eastAsia="仿宋_GB2312"/>
                <w:sz w:val="21"/>
                <w:color w:val="000000"/>
              </w:rPr>
              <w:t>配送车辆不少于</w:t>
            </w:r>
            <w:r>
              <w:rPr>
                <w:rFonts w:ascii="仿宋_GB2312" w:hAnsi="仿宋_GB2312" w:cs="仿宋_GB2312" w:eastAsia="仿宋_GB2312"/>
                <w:sz w:val="21"/>
                <w:color w:val="000000"/>
              </w:rPr>
              <w:t>3辆，</w:t>
            </w:r>
            <w:r>
              <w:rPr>
                <w:rFonts w:ascii="仿宋_GB2312" w:hAnsi="仿宋_GB2312" w:cs="仿宋_GB2312" w:eastAsia="仿宋_GB2312"/>
                <w:sz w:val="21"/>
                <w:color w:val="000000"/>
              </w:rPr>
              <w:t>自有车辆</w:t>
            </w:r>
            <w:r>
              <w:rPr>
                <w:rFonts w:ascii="仿宋_GB2312" w:hAnsi="仿宋_GB2312" w:cs="仿宋_GB2312" w:eastAsia="仿宋_GB2312"/>
                <w:sz w:val="21"/>
                <w:color w:val="000000"/>
              </w:rPr>
              <w:t>提供车辆行驶证</w:t>
            </w:r>
            <w:r>
              <w:rPr>
                <w:rFonts w:ascii="仿宋_GB2312" w:hAnsi="仿宋_GB2312" w:cs="仿宋_GB2312" w:eastAsia="仿宋_GB2312"/>
                <w:sz w:val="21"/>
                <w:color w:val="000000"/>
              </w:rPr>
              <w:t>和购买发票</w:t>
            </w:r>
            <w:r>
              <w:rPr>
                <w:rFonts w:ascii="仿宋_GB2312" w:hAnsi="仿宋_GB2312" w:cs="仿宋_GB2312" w:eastAsia="仿宋_GB2312"/>
                <w:sz w:val="21"/>
                <w:color w:val="000000"/>
              </w:rPr>
              <w:t>；</w:t>
            </w:r>
            <w:r>
              <w:rPr>
                <w:rFonts w:ascii="仿宋_GB2312" w:hAnsi="仿宋_GB2312" w:cs="仿宋_GB2312" w:eastAsia="仿宋_GB2312"/>
                <w:sz w:val="21"/>
                <w:color w:val="000000"/>
              </w:rPr>
              <w:t>租赁</w:t>
            </w:r>
            <w:r>
              <w:rPr>
                <w:rFonts w:ascii="仿宋_GB2312" w:hAnsi="仿宋_GB2312" w:cs="仿宋_GB2312" w:eastAsia="仿宋_GB2312"/>
                <w:sz w:val="21"/>
                <w:color w:val="000000"/>
              </w:rPr>
              <w:t>车辆提供</w:t>
            </w:r>
            <w:r>
              <w:rPr>
                <w:rFonts w:ascii="仿宋_GB2312" w:hAnsi="仿宋_GB2312" w:cs="仿宋_GB2312" w:eastAsia="仿宋_GB2312"/>
                <w:sz w:val="21"/>
                <w:color w:val="000000"/>
              </w:rPr>
              <w:t>车辆行驶证</w:t>
            </w:r>
            <w:r>
              <w:rPr>
                <w:rFonts w:ascii="仿宋_GB2312" w:hAnsi="仿宋_GB2312" w:cs="仿宋_GB2312" w:eastAsia="仿宋_GB2312"/>
                <w:sz w:val="21"/>
                <w:color w:val="000000"/>
              </w:rPr>
              <w:t>和</w:t>
            </w:r>
            <w:r>
              <w:rPr>
                <w:rFonts w:ascii="仿宋_GB2312" w:hAnsi="仿宋_GB2312" w:cs="仿宋_GB2312" w:eastAsia="仿宋_GB2312"/>
                <w:sz w:val="21"/>
                <w:color w:val="000000"/>
              </w:rPr>
              <w:t>租赁协议</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ind w:firstLine="480"/>
              <w:jc w:val="both"/>
            </w:pPr>
            <w:r>
              <w:rPr>
                <w:rFonts w:ascii="仿宋_GB2312" w:hAnsi="仿宋_GB2312" w:cs="仿宋_GB2312" w:eastAsia="仿宋_GB2312"/>
                <w:sz w:val="24"/>
              </w:rPr>
              <w:t>13.2.3需具有</w:t>
            </w:r>
            <w:r>
              <w:rPr>
                <w:rFonts w:ascii="仿宋_GB2312" w:hAnsi="仿宋_GB2312" w:cs="仿宋_GB2312" w:eastAsia="仿宋_GB2312"/>
                <w:sz w:val="24"/>
              </w:rPr>
              <w:t>6</w:t>
            </w:r>
            <w:r>
              <w:rPr>
                <w:rFonts w:ascii="仿宋_GB2312" w:hAnsi="仿宋_GB2312" w:cs="仿宋_GB2312" w:eastAsia="仿宋_GB2312"/>
                <w:sz w:val="24"/>
              </w:rPr>
              <w:t>名及以上健康证工作人员，提供健康证扫描件</w:t>
            </w:r>
            <w:r>
              <w:rPr>
                <w:rFonts w:ascii="仿宋_GB2312" w:hAnsi="仿宋_GB2312" w:cs="仿宋_GB2312" w:eastAsia="仿宋_GB2312"/>
                <w:sz w:val="24"/>
              </w:rPr>
              <w:t>。</w:t>
            </w:r>
          </w:p>
          <w:p>
            <w:pPr>
              <w:pStyle w:val="null3"/>
              <w:ind w:firstLine="482"/>
              <w:jc w:val="center"/>
            </w:pPr>
            <w:r>
              <w:rPr>
                <w:rFonts w:ascii="仿宋_GB2312" w:hAnsi="仿宋_GB2312" w:cs="仿宋_GB2312" w:eastAsia="仿宋_GB2312"/>
                <w:sz w:val="21"/>
                <w:b/>
              </w:rPr>
              <w:t>二、商务要求</w:t>
            </w:r>
          </w:p>
          <w:p>
            <w:pPr>
              <w:pStyle w:val="null3"/>
              <w:ind w:firstLine="482"/>
              <w:jc w:val="both"/>
            </w:pPr>
            <w:r>
              <w:rPr>
                <w:rFonts w:ascii="仿宋_GB2312" w:hAnsi="仿宋_GB2312" w:cs="仿宋_GB2312" w:eastAsia="仿宋_GB2312"/>
                <w:sz w:val="24"/>
                <w:b/>
              </w:rPr>
              <w:t>1.服务期限</w:t>
            </w:r>
          </w:p>
          <w:p>
            <w:pPr>
              <w:pStyle w:val="null3"/>
              <w:jc w:val="left"/>
            </w:pPr>
            <w:r>
              <w:rPr>
                <w:rFonts w:ascii="仿宋_GB2312" w:hAnsi="仿宋_GB2312" w:cs="仿宋_GB2312" w:eastAsia="仿宋_GB2312"/>
                <w:sz w:val="21"/>
                <w:color w:val="000000"/>
              </w:rPr>
              <w:t>自合同签订之日起</w:t>
            </w:r>
            <w:r>
              <w:rPr>
                <w:rFonts w:ascii="仿宋_GB2312" w:hAnsi="仿宋_GB2312" w:cs="仿宋_GB2312" w:eastAsia="仿宋_GB2312"/>
                <w:sz w:val="21"/>
                <w:color w:val="000000"/>
              </w:rPr>
              <w:t>364</w:t>
            </w:r>
            <w:r>
              <w:rPr>
                <w:rFonts w:ascii="仿宋_GB2312" w:hAnsi="仿宋_GB2312" w:cs="仿宋_GB2312" w:eastAsia="仿宋_GB2312"/>
                <w:sz w:val="21"/>
                <w:color w:val="000000"/>
              </w:rPr>
              <w:t>日。（</w:t>
            </w:r>
            <w:r>
              <w:rPr>
                <w:rFonts w:ascii="仿宋_GB2312" w:hAnsi="仿宋_GB2312" w:cs="仿宋_GB2312" w:eastAsia="仿宋_GB2312"/>
                <w:sz w:val="21"/>
                <w:color w:val="000000"/>
              </w:rPr>
              <w:t>2025年</w:t>
            </w:r>
            <w:r>
              <w:rPr>
                <w:rFonts w:ascii="仿宋_GB2312" w:hAnsi="仿宋_GB2312" w:cs="仿宋_GB2312" w:eastAsia="仿宋_GB2312"/>
                <w:sz w:val="21"/>
                <w:color w:val="000000"/>
              </w:rPr>
              <w:t>3月</w:t>
            </w:r>
            <w:r>
              <w:rPr>
                <w:rFonts w:ascii="仿宋_GB2312" w:hAnsi="仿宋_GB2312" w:cs="仿宋_GB2312" w:eastAsia="仿宋_GB2312"/>
                <w:sz w:val="21"/>
                <w:color w:val="000000"/>
              </w:rPr>
              <w:t>至</w:t>
            </w:r>
            <w:r>
              <w:rPr>
                <w:rFonts w:ascii="仿宋_GB2312" w:hAnsi="仿宋_GB2312" w:cs="仿宋_GB2312" w:eastAsia="仿宋_GB2312"/>
                <w:sz w:val="21"/>
                <w:color w:val="000000"/>
              </w:rPr>
              <w:t>2026年</w:t>
            </w:r>
            <w:r>
              <w:rPr>
                <w:rFonts w:ascii="仿宋_GB2312" w:hAnsi="仿宋_GB2312" w:cs="仿宋_GB2312" w:eastAsia="仿宋_GB2312"/>
                <w:sz w:val="21"/>
                <w:color w:val="000000"/>
              </w:rPr>
              <w:t>2月</w:t>
            </w:r>
            <w:r>
              <w:rPr>
                <w:rFonts w:ascii="仿宋_GB2312" w:hAnsi="仿宋_GB2312" w:cs="仿宋_GB2312" w:eastAsia="仿宋_GB2312"/>
                <w:sz w:val="21"/>
                <w:color w:val="000000"/>
              </w:rPr>
              <w:t>）</w:t>
            </w:r>
          </w:p>
          <w:p>
            <w:pPr>
              <w:pStyle w:val="null3"/>
              <w:numPr>
                <w:ilvl w:val="0"/>
                <w:numId w:val="1"/>
              </w:numPr>
              <w:jc w:val="both"/>
            </w:pPr>
            <w:r>
              <w:rPr>
                <w:rFonts w:ascii="仿宋_GB2312" w:hAnsi="仿宋_GB2312" w:cs="仿宋_GB2312" w:eastAsia="仿宋_GB2312"/>
                <w:sz w:val="24"/>
                <w:b/>
              </w:rPr>
              <w:t>服务地点</w:t>
            </w:r>
          </w:p>
          <w:p>
            <w:pPr>
              <w:pStyle w:val="null3"/>
              <w:ind w:firstLine="480"/>
              <w:jc w:val="both"/>
            </w:pPr>
            <w:r>
              <w:rPr>
                <w:rFonts w:ascii="仿宋_GB2312" w:hAnsi="仿宋_GB2312" w:cs="仿宋_GB2312" w:eastAsia="仿宋_GB2312"/>
                <w:sz w:val="24"/>
              </w:rPr>
              <w:t>广元市利州区区属各项目学校指定库房。</w:t>
            </w:r>
          </w:p>
          <w:p>
            <w:pPr>
              <w:pStyle w:val="null3"/>
              <w:numPr>
                <w:ilvl w:val="0"/>
                <w:numId w:val="1"/>
              </w:numPr>
              <w:jc w:val="both"/>
            </w:pPr>
            <w:r>
              <w:rPr>
                <w:rFonts w:ascii="仿宋_GB2312" w:hAnsi="仿宋_GB2312" w:cs="仿宋_GB2312" w:eastAsia="仿宋_GB2312"/>
                <w:sz w:val="24"/>
                <w:b/>
              </w:rPr>
              <w:t>付款方式</w:t>
            </w:r>
          </w:p>
          <w:p>
            <w:pPr>
              <w:pStyle w:val="null3"/>
              <w:ind w:firstLine="480"/>
              <w:jc w:val="both"/>
            </w:pPr>
            <w:r>
              <w:rPr>
                <w:rFonts w:ascii="仿宋_GB2312" w:hAnsi="仿宋_GB2312" w:cs="仿宋_GB2312" w:eastAsia="仿宋_GB2312"/>
                <w:sz w:val="24"/>
              </w:rPr>
              <w:t>按月据实结算，</w:t>
            </w:r>
            <w:r>
              <w:rPr>
                <w:rFonts w:ascii="仿宋_GB2312" w:hAnsi="仿宋_GB2312" w:cs="仿宋_GB2312" w:eastAsia="仿宋_GB2312"/>
                <w:sz w:val="24"/>
              </w:rPr>
              <w:t>次月各学校根据上月实际验收数量，支付上月应付货款，达到付款条件起</w:t>
            </w:r>
            <w:r>
              <w:rPr>
                <w:rFonts w:ascii="仿宋_GB2312" w:hAnsi="仿宋_GB2312" w:cs="仿宋_GB2312" w:eastAsia="仿宋_GB2312"/>
                <w:sz w:val="24"/>
              </w:rPr>
              <w:t>5</w:t>
            </w:r>
            <w:r>
              <w:rPr>
                <w:rFonts w:ascii="仿宋_GB2312" w:hAnsi="仿宋_GB2312" w:cs="仿宋_GB2312" w:eastAsia="仿宋_GB2312"/>
                <w:sz w:val="24"/>
              </w:rPr>
              <w:t>日内，支付</w:t>
            </w:r>
            <w:r>
              <w:rPr>
                <w:rFonts w:ascii="仿宋_GB2312" w:hAnsi="仿宋_GB2312" w:cs="仿宋_GB2312" w:eastAsia="仿宋_GB2312"/>
                <w:sz w:val="24"/>
              </w:rPr>
              <w:t>当月结算</w:t>
            </w:r>
            <w:r>
              <w:rPr>
                <w:rFonts w:ascii="仿宋_GB2312" w:hAnsi="仿宋_GB2312" w:cs="仿宋_GB2312" w:eastAsia="仿宋_GB2312"/>
                <w:sz w:val="24"/>
              </w:rPr>
              <w:t>金额的</w:t>
            </w:r>
            <w:r>
              <w:rPr>
                <w:rFonts w:ascii="仿宋_GB2312" w:hAnsi="仿宋_GB2312" w:cs="仿宋_GB2312" w:eastAsia="仿宋_GB2312"/>
                <w:sz w:val="24"/>
              </w:rPr>
              <w:t>100%。</w:t>
            </w:r>
          </w:p>
          <w:p>
            <w:pPr>
              <w:pStyle w:val="null3"/>
              <w:ind w:firstLine="482"/>
              <w:jc w:val="both"/>
            </w:pPr>
            <w:r>
              <w:rPr>
                <w:rFonts w:ascii="仿宋_GB2312" w:hAnsi="仿宋_GB2312" w:cs="仿宋_GB2312" w:eastAsia="仿宋_GB2312"/>
                <w:sz w:val="24"/>
                <w:b/>
              </w:rPr>
              <w:t>4.报价要求</w:t>
            </w:r>
          </w:p>
          <w:p>
            <w:pPr>
              <w:pStyle w:val="null3"/>
              <w:ind w:firstLine="480"/>
              <w:jc w:val="both"/>
            </w:pPr>
            <w:r>
              <w:rPr>
                <w:rFonts w:ascii="仿宋_GB2312" w:hAnsi="仿宋_GB2312" w:cs="仿宋_GB2312" w:eastAsia="仿宋_GB2312"/>
                <w:sz w:val="24"/>
              </w:rPr>
              <w:t>4.1下浮率报价。</w:t>
            </w:r>
          </w:p>
          <w:p>
            <w:pPr>
              <w:pStyle w:val="null3"/>
              <w:ind w:firstLine="480"/>
              <w:jc w:val="both"/>
            </w:pPr>
            <w:r>
              <w:rPr>
                <w:rFonts w:ascii="仿宋_GB2312" w:hAnsi="仿宋_GB2312" w:cs="仿宋_GB2312" w:eastAsia="仿宋_GB2312"/>
                <w:sz w:val="24"/>
              </w:rPr>
              <w:t>4.2投标报价包括供应商完成交付所供食材的全部费用，包括食材成本、人工、 储存、冷藏、装卸运输费、保险费（含人员、车辆、食材、食品安全险等）、专用运输工具费、检验（测）费、应急处置费、食品安全责任费、售后服务费、利润、税费等与本项目相关的一切费用。本合同执行期间合同下浮率或合同固定单价均不变，采购人无须另向中标人支付其他任何费用。结算金额以学校实际消费数量为准。</w:t>
            </w:r>
          </w:p>
          <w:p>
            <w:pPr>
              <w:pStyle w:val="null3"/>
              <w:ind w:firstLine="480"/>
              <w:jc w:val="both"/>
            </w:pPr>
            <w:r>
              <w:rPr>
                <w:rFonts w:ascii="仿宋_GB2312" w:hAnsi="仿宋_GB2312" w:cs="仿宋_GB2312" w:eastAsia="仿宋_GB2312"/>
                <w:sz w:val="24"/>
              </w:rPr>
              <w:t>4.3投标人所报价格应充分考虑供货期内各种费用、市场风险、价格波动、履约义务和付款条件等情况发生。</w:t>
            </w:r>
          </w:p>
          <w:p>
            <w:pPr>
              <w:pStyle w:val="null3"/>
              <w:ind w:firstLine="480"/>
              <w:jc w:val="both"/>
            </w:pPr>
            <w:r>
              <w:rPr>
                <w:rFonts w:ascii="仿宋_GB2312" w:hAnsi="仿宋_GB2312" w:cs="仿宋_GB2312" w:eastAsia="仿宋_GB2312"/>
                <w:sz w:val="24"/>
              </w:rPr>
              <w:t>4.4</w:t>
            </w:r>
            <w:r>
              <w:rPr>
                <w:rFonts w:ascii="仿宋_GB2312" w:hAnsi="仿宋_GB2312" w:cs="仿宋_GB2312" w:eastAsia="仿宋_GB2312"/>
                <w:sz w:val="24"/>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2"/>
              <w:jc w:val="both"/>
            </w:pPr>
            <w:r>
              <w:rPr>
                <w:rFonts w:ascii="仿宋_GB2312" w:hAnsi="仿宋_GB2312" w:cs="仿宋_GB2312" w:eastAsia="仿宋_GB2312"/>
                <w:sz w:val="24"/>
                <w:b/>
              </w:rPr>
              <w:t>5.退出机制和考核标准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5.1</w:t>
            </w:r>
            <w:r>
              <w:rPr>
                <w:rFonts w:ascii="仿宋_GB2312" w:hAnsi="仿宋_GB2312" w:cs="仿宋_GB2312" w:eastAsia="仿宋_GB2312"/>
                <w:sz w:val="24"/>
              </w:rPr>
              <w:t>.建立退出机制。出现下列情形之一的，将终止食材配送资格，采购人有权解除</w:t>
            </w:r>
            <w:r>
              <w:rPr>
                <w:rFonts w:ascii="仿宋_GB2312" w:hAnsi="仿宋_GB2312" w:cs="仿宋_GB2312" w:eastAsia="仿宋_GB2312"/>
                <w:sz w:val="24"/>
              </w:rPr>
              <w:t>食堂大宗物资</w:t>
            </w:r>
            <w:r>
              <w:rPr>
                <w:rFonts w:ascii="仿宋_GB2312" w:hAnsi="仿宋_GB2312" w:cs="仿宋_GB2312" w:eastAsia="仿宋_GB2312"/>
                <w:sz w:val="24"/>
              </w:rPr>
              <w:t>的合同。由此产生的一切经济及法律责任由</w:t>
            </w:r>
            <w:r>
              <w:rPr>
                <w:rFonts w:ascii="仿宋_GB2312" w:hAnsi="仿宋_GB2312" w:cs="仿宋_GB2312" w:eastAsia="仿宋_GB2312"/>
                <w:sz w:val="24"/>
              </w:rPr>
              <w:t>中标人</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①因供应商的原因直接导致发生食品安全事故的；</w:t>
            </w:r>
          </w:p>
          <w:p>
            <w:pPr>
              <w:pStyle w:val="null3"/>
              <w:ind w:firstLine="480"/>
              <w:jc w:val="both"/>
            </w:pPr>
            <w:r>
              <w:rPr>
                <w:rFonts w:ascii="仿宋_GB2312" w:hAnsi="仿宋_GB2312" w:cs="仿宋_GB2312" w:eastAsia="仿宋_GB2312"/>
                <w:sz w:val="24"/>
              </w:rPr>
              <w:t>②违反合同行为，包括降低</w:t>
            </w:r>
            <w:r>
              <w:rPr>
                <w:rFonts w:ascii="仿宋_GB2312" w:hAnsi="仿宋_GB2312" w:cs="仿宋_GB2312" w:eastAsia="仿宋_GB2312"/>
                <w:sz w:val="24"/>
              </w:rPr>
              <w:t>食材</w:t>
            </w:r>
            <w:r>
              <w:rPr>
                <w:rFonts w:ascii="仿宋_GB2312" w:hAnsi="仿宋_GB2312" w:cs="仿宋_GB2312" w:eastAsia="仿宋_GB2312"/>
                <w:sz w:val="24"/>
              </w:rPr>
              <w:t>质量标准、缺失食品卫生安全保障条件的；</w:t>
            </w:r>
          </w:p>
          <w:p>
            <w:pPr>
              <w:pStyle w:val="null3"/>
              <w:ind w:firstLine="480"/>
              <w:jc w:val="both"/>
            </w:pPr>
            <w:r>
              <w:rPr>
                <w:rFonts w:ascii="仿宋_GB2312" w:hAnsi="仿宋_GB2312" w:cs="仿宋_GB2312" w:eastAsia="仿宋_GB2312"/>
                <w:sz w:val="24"/>
              </w:rPr>
              <w:t>③使用腐败变质、油脂酸败、污秽不洁、掺杂使用假冒伪劣食品原料或使用的食品原料农药残留、致病性微生物、重金属以及其他危害人体健康物质成份含量超过国家食品安全标准限量的；</w:t>
            </w:r>
          </w:p>
          <w:p>
            <w:pPr>
              <w:pStyle w:val="null3"/>
              <w:ind w:firstLine="480"/>
              <w:jc w:val="both"/>
            </w:pPr>
            <w:r>
              <w:rPr>
                <w:rFonts w:ascii="仿宋_GB2312" w:hAnsi="仿宋_GB2312" w:cs="仿宋_GB2312" w:eastAsia="仿宋_GB2312"/>
                <w:sz w:val="24"/>
              </w:rPr>
              <w:t>④逃避监督管理部门监管情节严重的，或严重违反食品质量安全法规以及有其他不良行为造成恶劣影响或严重后果的；</w:t>
            </w:r>
          </w:p>
          <w:p>
            <w:pPr>
              <w:pStyle w:val="null3"/>
              <w:ind w:firstLine="480"/>
              <w:jc w:val="both"/>
            </w:pPr>
            <w:r>
              <w:rPr>
                <w:rFonts w:ascii="仿宋_GB2312" w:hAnsi="仿宋_GB2312" w:cs="仿宋_GB2312" w:eastAsia="仿宋_GB2312"/>
                <w:sz w:val="24"/>
              </w:rPr>
              <w:t>⑤每</w:t>
            </w:r>
            <w:r>
              <w:rPr>
                <w:rFonts w:ascii="仿宋_GB2312" w:hAnsi="仿宋_GB2312" w:cs="仿宋_GB2312" w:eastAsia="仿宋_GB2312"/>
                <w:sz w:val="24"/>
              </w:rPr>
              <w:t>季度</w:t>
            </w:r>
            <w:r>
              <w:rPr>
                <w:rFonts w:ascii="仿宋_GB2312" w:hAnsi="仿宋_GB2312" w:cs="仿宋_GB2312" w:eastAsia="仿宋_GB2312"/>
                <w:sz w:val="24"/>
              </w:rPr>
              <w:t>考核结果低于</w:t>
            </w:r>
            <w:r>
              <w:rPr>
                <w:rFonts w:ascii="仿宋_GB2312" w:hAnsi="仿宋_GB2312" w:cs="仿宋_GB2312" w:eastAsia="仿宋_GB2312"/>
                <w:sz w:val="24"/>
              </w:rPr>
              <w:t>70分或者食材新鲜度得分低于15分，或食材质量得分低于</w:t>
            </w:r>
            <w:r>
              <w:rPr>
                <w:rFonts w:ascii="仿宋_GB2312" w:hAnsi="仿宋_GB2312" w:cs="仿宋_GB2312" w:eastAsia="仿宋_GB2312"/>
                <w:sz w:val="24"/>
              </w:rPr>
              <w:t>25</w:t>
            </w:r>
            <w:r>
              <w:rPr>
                <w:rFonts w:ascii="仿宋_GB2312" w:hAnsi="仿宋_GB2312" w:cs="仿宋_GB2312" w:eastAsia="仿宋_GB2312"/>
                <w:sz w:val="24"/>
              </w:rPr>
              <w:t>分时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5.2</w:t>
            </w:r>
            <w:r>
              <w:rPr>
                <w:rFonts w:ascii="仿宋_GB2312" w:hAnsi="仿宋_GB2312" w:cs="仿宋_GB2312" w:eastAsia="仿宋_GB2312"/>
                <w:sz w:val="24"/>
              </w:rPr>
              <w:t>因市场特殊原因，食材不能</w:t>
            </w:r>
            <w:r>
              <w:rPr>
                <w:rFonts w:ascii="仿宋_GB2312" w:hAnsi="仿宋_GB2312" w:cs="仿宋_GB2312" w:eastAsia="仿宋_GB2312"/>
                <w:sz w:val="24"/>
              </w:rPr>
              <w:t>按</w:t>
            </w:r>
            <w:r>
              <w:rPr>
                <w:rFonts w:ascii="仿宋_GB2312" w:hAnsi="仿宋_GB2312" w:cs="仿宋_GB2312" w:eastAsia="仿宋_GB2312"/>
                <w:sz w:val="24"/>
              </w:rPr>
              <w:t>时</w:t>
            </w:r>
            <w:r>
              <w:rPr>
                <w:rFonts w:ascii="仿宋_GB2312" w:hAnsi="仿宋_GB2312" w:cs="仿宋_GB2312" w:eastAsia="仿宋_GB2312"/>
                <w:sz w:val="24"/>
              </w:rPr>
              <w:t>按需</w:t>
            </w:r>
            <w:r>
              <w:rPr>
                <w:rFonts w:ascii="仿宋_GB2312" w:hAnsi="仿宋_GB2312" w:cs="仿宋_GB2312" w:eastAsia="仿宋_GB2312"/>
                <w:sz w:val="24"/>
              </w:rPr>
              <w:t>提供的，</w:t>
            </w:r>
            <w:r>
              <w:rPr>
                <w:rFonts w:ascii="仿宋_GB2312" w:hAnsi="仿宋_GB2312" w:cs="仿宋_GB2312" w:eastAsia="仿宋_GB2312"/>
                <w:sz w:val="24"/>
              </w:rPr>
              <w:t>中标人</w:t>
            </w:r>
            <w:r>
              <w:rPr>
                <w:rFonts w:ascii="仿宋_GB2312" w:hAnsi="仿宋_GB2312" w:cs="仿宋_GB2312" w:eastAsia="仿宋_GB2312"/>
                <w:sz w:val="24"/>
              </w:rPr>
              <w:t>应</w:t>
            </w:r>
            <w:r>
              <w:rPr>
                <w:rFonts w:ascii="仿宋_GB2312" w:hAnsi="仿宋_GB2312" w:cs="仿宋_GB2312" w:eastAsia="仿宋_GB2312"/>
                <w:sz w:val="24"/>
              </w:rPr>
              <w:t>提前</w:t>
            </w:r>
            <w:r>
              <w:rPr>
                <w:rFonts w:ascii="仿宋_GB2312" w:hAnsi="仿宋_GB2312" w:cs="仿宋_GB2312" w:eastAsia="仿宋_GB2312"/>
                <w:sz w:val="24"/>
              </w:rPr>
              <w:t>主动与采购人沟通协调，及时</w:t>
            </w:r>
            <w:r>
              <w:rPr>
                <w:rFonts w:ascii="仿宋_GB2312" w:hAnsi="仿宋_GB2312" w:cs="仿宋_GB2312" w:eastAsia="仿宋_GB2312"/>
                <w:sz w:val="24"/>
              </w:rPr>
              <w:t>采取应对措施</w:t>
            </w:r>
            <w:r>
              <w:rPr>
                <w:rFonts w:ascii="仿宋_GB2312" w:hAnsi="仿宋_GB2312" w:cs="仿宋_GB2312" w:eastAsia="仿宋_GB2312"/>
                <w:sz w:val="24"/>
              </w:rPr>
              <w:t>，满足采购人需要。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5.3</w:t>
            </w:r>
            <w:r>
              <w:rPr>
                <w:rFonts w:ascii="仿宋_GB2312" w:hAnsi="仿宋_GB2312" w:cs="仿宋_GB2312" w:eastAsia="仿宋_GB2312"/>
                <w:sz w:val="24"/>
              </w:rPr>
              <w:t>供应商需承诺在运输及装卸过程中发生的一切安全事故，包括人员、车辆事故等情况，由供应商自己负责，并依法承担所有责任。</w:t>
            </w:r>
            <w:r>
              <w:rPr>
                <w:rFonts w:ascii="仿宋_GB2312" w:hAnsi="仿宋_GB2312" w:cs="仿宋_GB2312" w:eastAsia="仿宋_GB2312"/>
                <w:sz w:val="24"/>
              </w:rPr>
              <w:t>（</w:t>
            </w:r>
            <w:r>
              <w:rPr>
                <w:rFonts w:ascii="仿宋_GB2312" w:hAnsi="仿宋_GB2312" w:cs="仿宋_GB2312" w:eastAsia="仿宋_GB2312"/>
                <w:sz w:val="24"/>
              </w:rPr>
              <w:t>须单独提供承诺函原件的扫描件并加盖投标供应商的电子签章。承诺函格式自拟，但需体现项目名称、项目编号、供应商名称、所承诺事项内容等信息。）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5.4</w:t>
            </w:r>
            <w:r>
              <w:rPr>
                <w:rFonts w:ascii="仿宋_GB2312" w:hAnsi="仿宋_GB2312" w:cs="仿宋_GB2312" w:eastAsia="仿宋_GB2312"/>
                <w:sz w:val="24"/>
              </w:rPr>
              <w:t>考核标准</w:t>
            </w:r>
            <w:r>
              <w:rPr>
                <w:rFonts w:ascii="仿宋_GB2312" w:hAnsi="仿宋_GB2312" w:cs="仿宋_GB2312" w:eastAsia="仿宋_GB2312"/>
                <w:sz w:val="24"/>
              </w:rPr>
              <w:t>(</w:t>
            </w:r>
            <w:r>
              <w:rPr>
                <w:rFonts w:ascii="仿宋_GB2312" w:hAnsi="仿宋_GB2312" w:cs="仿宋_GB2312" w:eastAsia="仿宋_GB2312"/>
                <w:sz w:val="24"/>
              </w:rPr>
              <w:t>每季度考核一次，随机抽取</w:t>
            </w:r>
            <w:r>
              <w:rPr>
                <w:rFonts w:ascii="仿宋_GB2312" w:hAnsi="仿宋_GB2312" w:cs="仿宋_GB2312" w:eastAsia="仿宋_GB2312"/>
                <w:sz w:val="24"/>
              </w:rPr>
              <w:t>15所学校为考核标准</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844"/>
              <w:gridCol w:w="1494"/>
              <w:gridCol w:w="572"/>
              <w:gridCol w:w="1494"/>
              <w:gridCol w:w="1173"/>
            </w:tblGrid>
            <w:tr>
              <w:tc>
                <w:tcPr>
                  <w:tcW w:type="dxa" w:w="8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考核内容</w:t>
                  </w:r>
                </w:p>
              </w:tc>
              <w:tc>
                <w:tcPr>
                  <w:tcW w:type="dxa" w:w="1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w:t>
                  </w:r>
                  <w:r>
                    <w:rPr>
                      <w:rFonts w:ascii="仿宋_GB2312" w:hAnsi="仿宋_GB2312" w:cs="仿宋_GB2312" w:eastAsia="仿宋_GB2312"/>
                      <w:sz w:val="21"/>
                      <w:b/>
                    </w:rPr>
                    <w:t>指标</w:t>
                  </w:r>
                </w:p>
              </w:tc>
              <w:tc>
                <w:tcPr>
                  <w:tcW w:type="dxa" w:w="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分值</w:t>
                  </w:r>
                </w:p>
              </w:tc>
              <w:tc>
                <w:tcPr>
                  <w:tcW w:type="dxa" w:w="1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实际</w:t>
                  </w:r>
                  <w:r>
                    <w:rPr>
                      <w:rFonts w:ascii="仿宋_GB2312" w:hAnsi="仿宋_GB2312" w:cs="仿宋_GB2312" w:eastAsia="仿宋_GB2312"/>
                      <w:sz w:val="21"/>
                      <w:b/>
                    </w:rPr>
                    <w:t>分值</w:t>
                  </w:r>
                  <w:r>
                    <w:rPr>
                      <w:rFonts w:ascii="仿宋_GB2312" w:hAnsi="仿宋_GB2312" w:cs="仿宋_GB2312" w:eastAsia="仿宋_GB2312"/>
                      <w:sz w:val="19"/>
                      <w:b/>
                    </w:rPr>
                    <w:t xml:space="preserve">  </w:t>
                  </w:r>
                </w:p>
                <w:p>
                  <w:pPr>
                    <w:pStyle w:val="null3"/>
                    <w:jc w:val="center"/>
                  </w:pPr>
                  <w:r>
                    <w:rPr>
                      <w:rFonts w:ascii="仿宋_GB2312" w:hAnsi="仿宋_GB2312" w:cs="仿宋_GB2312" w:eastAsia="仿宋_GB2312"/>
                      <w:sz w:val="18"/>
                      <w:b/>
                    </w:rPr>
                    <w:t>（根据考核指标实际计算）</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等级</w:t>
                  </w:r>
                </w:p>
                <w:p>
                  <w:pPr>
                    <w:pStyle w:val="null3"/>
                    <w:jc w:val="center"/>
                  </w:pPr>
                  <w:r>
                    <w:rPr>
                      <w:rFonts w:ascii="仿宋_GB2312" w:hAnsi="仿宋_GB2312" w:cs="仿宋_GB2312" w:eastAsia="仿宋_GB2312"/>
                      <w:sz w:val="21"/>
                      <w:b/>
                    </w:rPr>
                    <w:t>（</w:t>
                  </w:r>
                  <w:r>
                    <w:rPr>
                      <w:rFonts w:ascii="仿宋_GB2312" w:hAnsi="仿宋_GB2312" w:cs="仿宋_GB2312" w:eastAsia="仿宋_GB2312"/>
                      <w:sz w:val="18"/>
                      <w:b/>
                    </w:rPr>
                    <w:t>参考区间</w:t>
                  </w:r>
                  <w:r>
                    <w:rPr>
                      <w:rFonts w:ascii="仿宋_GB2312" w:hAnsi="仿宋_GB2312" w:cs="仿宋_GB2312" w:eastAsia="仿宋_GB2312"/>
                      <w:sz w:val="21"/>
                      <w:b/>
                    </w:rPr>
                    <w:t>）</w:t>
                  </w:r>
                </w:p>
              </w:tc>
            </w:tr>
            <w:tr>
              <w:tc>
                <w:tcPr>
                  <w:tcW w:type="dxa" w:w="8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配送及时性</w:t>
                  </w:r>
                </w:p>
              </w:tc>
              <w:tc>
                <w:tcPr>
                  <w:tcW w:type="dxa" w:w="14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（配送总次数</w:t>
                  </w:r>
                  <w:r>
                    <w:rPr>
                      <w:rFonts w:ascii="仿宋_GB2312" w:hAnsi="仿宋_GB2312" w:cs="仿宋_GB2312" w:eastAsia="仿宋_GB2312"/>
                      <w:sz w:val="21"/>
                    </w:rPr>
                    <w:t>-超过采购人约定时间配送次数）/配送总次数×100%</w:t>
                  </w:r>
                </w:p>
              </w:tc>
              <w:tc>
                <w:tcPr>
                  <w:tcW w:type="dxa" w:w="5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30</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A≥9</w:t>
                  </w:r>
                  <w:r>
                    <w:rPr>
                      <w:rFonts w:ascii="仿宋_GB2312" w:hAnsi="仿宋_GB2312" w:cs="仿宋_GB2312" w:eastAsia="仿宋_GB2312"/>
                      <w:sz w:val="21"/>
                    </w:rPr>
                    <w:t>5</w:t>
                  </w:r>
                  <w:r>
                    <w:rPr>
                      <w:rFonts w:ascii="仿宋_GB2312" w:hAnsi="仿宋_GB2312" w:cs="仿宋_GB2312" w:eastAsia="仿宋_GB2312"/>
                      <w:sz w:val="21"/>
                    </w:rPr>
                    <w:t>%</w:t>
                  </w:r>
                </w:p>
              </w:tc>
            </w:tr>
            <w:tr>
              <w:tc>
                <w:tcPr>
                  <w:tcW w:type="dxa" w:w="844"/>
                  <w:vMerge/>
                  <w:tcBorders>
                    <w:top w:val="none" w:color="000000" w:sz="4"/>
                    <w:left w:val="single" w:color="000000" w:sz="4"/>
                    <w:bottom w:val="single" w:color="000000" w:sz="4"/>
                    <w:right w:val="single" w:color="000000" w:sz="4"/>
                  </w:tcBorders>
                </w:tcPr>
                <w:p/>
              </w:tc>
              <w:tc>
                <w:tcPr>
                  <w:tcW w:type="dxa" w:w="1494"/>
                  <w:vMerge/>
                  <w:tcBorders>
                    <w:top w:val="none" w:color="000000" w:sz="4"/>
                    <w:left w:val="none" w:color="000000" w:sz="4"/>
                    <w:bottom w:val="single" w:color="000000" w:sz="4"/>
                    <w:right w:val="single" w:color="000000" w:sz="4"/>
                  </w:tcBorders>
                </w:tcPr>
                <w:p/>
              </w:tc>
              <w:tc>
                <w:tcPr>
                  <w:tcW w:type="dxa" w:w="572"/>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r>
                    <w:rPr>
                      <w:rFonts w:ascii="仿宋_GB2312" w:hAnsi="仿宋_GB2312" w:cs="仿宋_GB2312" w:eastAsia="仿宋_GB2312"/>
                      <w:sz w:val="21"/>
                    </w:rPr>
                    <w:t>5</w:t>
                  </w:r>
                  <w:r>
                    <w:rPr>
                      <w:rFonts w:ascii="仿宋_GB2312" w:hAnsi="仿宋_GB2312" w:cs="仿宋_GB2312" w:eastAsia="仿宋_GB2312"/>
                      <w:sz w:val="21"/>
                    </w:rPr>
                    <w:t>%≤A＜9</w:t>
                  </w:r>
                  <w:r>
                    <w:rPr>
                      <w:rFonts w:ascii="仿宋_GB2312" w:hAnsi="仿宋_GB2312" w:cs="仿宋_GB2312" w:eastAsia="仿宋_GB2312"/>
                      <w:sz w:val="21"/>
                    </w:rPr>
                    <w:t>5</w:t>
                  </w:r>
                  <w:r>
                    <w:rPr>
                      <w:rFonts w:ascii="仿宋_GB2312" w:hAnsi="仿宋_GB2312" w:cs="仿宋_GB2312" w:eastAsia="仿宋_GB2312"/>
                      <w:sz w:val="21"/>
                    </w:rPr>
                    <w:t>%</w:t>
                  </w:r>
                </w:p>
              </w:tc>
            </w:tr>
            <w:tr>
              <w:tc>
                <w:tcPr>
                  <w:tcW w:type="dxa" w:w="844"/>
                  <w:vMerge/>
                  <w:tcBorders>
                    <w:top w:val="none" w:color="000000" w:sz="4"/>
                    <w:left w:val="single" w:color="000000" w:sz="4"/>
                    <w:bottom w:val="single" w:color="000000" w:sz="4"/>
                    <w:right w:val="single" w:color="000000" w:sz="4"/>
                  </w:tcBorders>
                </w:tcPr>
                <w:p/>
              </w:tc>
              <w:tc>
                <w:tcPr>
                  <w:tcW w:type="dxa" w:w="1494"/>
                  <w:vMerge/>
                  <w:tcBorders>
                    <w:top w:val="none" w:color="000000" w:sz="4"/>
                    <w:left w:val="none" w:color="000000" w:sz="4"/>
                    <w:bottom w:val="single" w:color="000000" w:sz="4"/>
                    <w:right w:val="single" w:color="000000" w:sz="4"/>
                  </w:tcBorders>
                </w:tcPr>
                <w:p/>
              </w:tc>
              <w:tc>
                <w:tcPr>
                  <w:tcW w:type="dxa" w:w="572"/>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r>
                    <w:rPr>
                      <w:rFonts w:ascii="仿宋_GB2312" w:hAnsi="仿宋_GB2312" w:cs="仿宋_GB2312" w:eastAsia="仿宋_GB2312"/>
                      <w:sz w:val="21"/>
                    </w:rPr>
                    <w:t>5</w:t>
                  </w:r>
                  <w:r>
                    <w:rPr>
                      <w:rFonts w:ascii="仿宋_GB2312" w:hAnsi="仿宋_GB2312" w:cs="仿宋_GB2312" w:eastAsia="仿宋_GB2312"/>
                      <w:sz w:val="21"/>
                    </w:rPr>
                    <w:t>%≤A＜8</w:t>
                  </w:r>
                  <w:r>
                    <w:rPr>
                      <w:rFonts w:ascii="仿宋_GB2312" w:hAnsi="仿宋_GB2312" w:cs="仿宋_GB2312" w:eastAsia="仿宋_GB2312"/>
                      <w:sz w:val="21"/>
                    </w:rPr>
                    <w:t>5</w:t>
                  </w:r>
                  <w:r>
                    <w:rPr>
                      <w:rFonts w:ascii="仿宋_GB2312" w:hAnsi="仿宋_GB2312" w:cs="仿宋_GB2312" w:eastAsia="仿宋_GB2312"/>
                      <w:sz w:val="21"/>
                    </w:rPr>
                    <w:t>%</w:t>
                  </w:r>
                </w:p>
              </w:tc>
            </w:tr>
            <w:tr>
              <w:tc>
                <w:tcPr>
                  <w:tcW w:type="dxa" w:w="844"/>
                  <w:vMerge/>
                  <w:tcBorders>
                    <w:top w:val="none" w:color="000000" w:sz="4"/>
                    <w:left w:val="single" w:color="000000" w:sz="4"/>
                    <w:bottom w:val="single" w:color="000000" w:sz="4"/>
                    <w:right w:val="single" w:color="000000" w:sz="4"/>
                  </w:tcBorders>
                </w:tcPr>
                <w:p/>
              </w:tc>
              <w:tc>
                <w:tcPr>
                  <w:tcW w:type="dxa" w:w="1494"/>
                  <w:vMerge/>
                  <w:tcBorders>
                    <w:top w:val="none" w:color="000000" w:sz="4"/>
                    <w:left w:val="none" w:color="000000" w:sz="4"/>
                    <w:bottom w:val="single" w:color="000000" w:sz="4"/>
                    <w:right w:val="single" w:color="000000" w:sz="4"/>
                  </w:tcBorders>
                </w:tcPr>
                <w:p/>
              </w:tc>
              <w:tc>
                <w:tcPr>
                  <w:tcW w:type="dxa" w:w="572"/>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A＜5</w:t>
                  </w:r>
                  <w:r>
                    <w:rPr>
                      <w:rFonts w:ascii="仿宋_GB2312" w:hAnsi="仿宋_GB2312" w:cs="仿宋_GB2312" w:eastAsia="仿宋_GB2312"/>
                      <w:sz w:val="21"/>
                    </w:rPr>
                    <w:t>5</w:t>
                  </w:r>
                  <w:r>
                    <w:rPr>
                      <w:rFonts w:ascii="仿宋_GB2312" w:hAnsi="仿宋_GB2312" w:cs="仿宋_GB2312" w:eastAsia="仿宋_GB2312"/>
                      <w:sz w:val="21"/>
                    </w:rPr>
                    <w:t>%</w:t>
                  </w:r>
                </w:p>
              </w:tc>
            </w:tr>
            <w:tr>
              <w:tc>
                <w:tcPr>
                  <w:tcW w:type="dxa" w:w="8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食材新鲜度</w:t>
                  </w:r>
                </w:p>
              </w:tc>
              <w:tc>
                <w:tcPr>
                  <w:tcW w:type="dxa" w:w="14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（单次采购总数量</w:t>
                  </w:r>
                  <w:r>
                    <w:rPr>
                      <w:rFonts w:ascii="仿宋_GB2312" w:hAnsi="仿宋_GB2312" w:cs="仿宋_GB2312" w:eastAsia="仿宋_GB2312"/>
                      <w:sz w:val="21"/>
                    </w:rPr>
                    <w:t>-单次不新鲜食材数量）/单次采购总数量×100%</w:t>
                  </w:r>
                </w:p>
              </w:tc>
              <w:tc>
                <w:tcPr>
                  <w:tcW w:type="dxa" w:w="5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B≥95%</w:t>
                  </w:r>
                </w:p>
              </w:tc>
            </w:tr>
            <w:tr>
              <w:tc>
                <w:tcPr>
                  <w:tcW w:type="dxa" w:w="844"/>
                  <w:vMerge/>
                  <w:tcBorders>
                    <w:top w:val="none" w:color="000000" w:sz="4"/>
                    <w:left w:val="single" w:color="000000" w:sz="4"/>
                    <w:bottom w:val="single" w:color="000000" w:sz="4"/>
                    <w:right w:val="single" w:color="000000" w:sz="4"/>
                  </w:tcBorders>
                </w:tcPr>
                <w:p/>
              </w:tc>
              <w:tc>
                <w:tcPr>
                  <w:tcW w:type="dxa" w:w="1494"/>
                  <w:vMerge/>
                  <w:tcBorders>
                    <w:top w:val="none" w:color="000000" w:sz="4"/>
                    <w:left w:val="none" w:color="000000" w:sz="4"/>
                    <w:bottom w:val="single" w:color="000000" w:sz="4"/>
                    <w:right w:val="single" w:color="000000" w:sz="4"/>
                  </w:tcBorders>
                </w:tcPr>
                <w:p/>
              </w:tc>
              <w:tc>
                <w:tcPr>
                  <w:tcW w:type="dxa" w:w="572"/>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80%≤B＜95%</w:t>
                  </w:r>
                </w:p>
              </w:tc>
            </w:tr>
            <w:tr>
              <w:tc>
                <w:tcPr>
                  <w:tcW w:type="dxa" w:w="844"/>
                  <w:vMerge/>
                  <w:tcBorders>
                    <w:top w:val="none" w:color="000000" w:sz="4"/>
                    <w:left w:val="single" w:color="000000" w:sz="4"/>
                    <w:bottom w:val="single" w:color="000000" w:sz="4"/>
                    <w:right w:val="single" w:color="000000" w:sz="4"/>
                  </w:tcBorders>
                </w:tcPr>
                <w:p/>
              </w:tc>
              <w:tc>
                <w:tcPr>
                  <w:tcW w:type="dxa" w:w="1494"/>
                  <w:vMerge/>
                  <w:tcBorders>
                    <w:top w:val="none" w:color="000000" w:sz="4"/>
                    <w:left w:val="none" w:color="000000" w:sz="4"/>
                    <w:bottom w:val="single" w:color="000000" w:sz="4"/>
                    <w:right w:val="single" w:color="000000" w:sz="4"/>
                  </w:tcBorders>
                </w:tcPr>
                <w:p/>
              </w:tc>
              <w:tc>
                <w:tcPr>
                  <w:tcW w:type="dxa" w:w="572"/>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50%≤B＜80%</w:t>
                  </w:r>
                </w:p>
              </w:tc>
            </w:tr>
            <w:tr>
              <w:tc>
                <w:tcPr>
                  <w:tcW w:type="dxa" w:w="844"/>
                  <w:vMerge/>
                  <w:tcBorders>
                    <w:top w:val="none" w:color="000000" w:sz="4"/>
                    <w:left w:val="single" w:color="000000" w:sz="4"/>
                    <w:bottom w:val="single" w:color="000000" w:sz="4"/>
                    <w:right w:val="single" w:color="000000" w:sz="4"/>
                  </w:tcBorders>
                </w:tcPr>
                <w:p/>
              </w:tc>
              <w:tc>
                <w:tcPr>
                  <w:tcW w:type="dxa" w:w="1494"/>
                  <w:vMerge/>
                  <w:tcBorders>
                    <w:top w:val="none" w:color="000000" w:sz="4"/>
                    <w:left w:val="none" w:color="000000" w:sz="4"/>
                    <w:bottom w:val="single" w:color="000000" w:sz="4"/>
                    <w:right w:val="single" w:color="000000" w:sz="4"/>
                  </w:tcBorders>
                </w:tcPr>
                <w:p/>
              </w:tc>
              <w:tc>
                <w:tcPr>
                  <w:tcW w:type="dxa" w:w="572"/>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B＜50%</w:t>
                  </w:r>
                </w:p>
              </w:tc>
            </w:tr>
            <w:tr>
              <w:tc>
                <w:tcPr>
                  <w:tcW w:type="dxa" w:w="8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食材质量</w:t>
                  </w:r>
                </w:p>
              </w:tc>
              <w:tc>
                <w:tcPr>
                  <w:tcW w:type="dxa" w:w="14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（单次购买食材总数</w:t>
                  </w:r>
                  <w:r>
                    <w:rPr>
                      <w:rFonts w:ascii="仿宋_GB2312" w:hAnsi="仿宋_GB2312" w:cs="仿宋_GB2312" w:eastAsia="仿宋_GB2312"/>
                      <w:sz w:val="21"/>
                    </w:rPr>
                    <w:t>-单次不合格食材质量）/单次购买食材总数×100%</w:t>
                  </w:r>
                </w:p>
              </w:tc>
              <w:tc>
                <w:tcPr>
                  <w:tcW w:type="dxa" w:w="5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C=100%</w:t>
                  </w:r>
                </w:p>
              </w:tc>
            </w:tr>
            <w:tr>
              <w:tc>
                <w:tcPr>
                  <w:tcW w:type="dxa" w:w="844"/>
                  <w:vMerge/>
                  <w:tcBorders>
                    <w:top w:val="none" w:color="000000" w:sz="4"/>
                    <w:left w:val="single" w:color="000000" w:sz="4"/>
                    <w:bottom w:val="single" w:color="000000" w:sz="4"/>
                    <w:right w:val="single" w:color="000000" w:sz="4"/>
                  </w:tcBorders>
                </w:tcPr>
                <w:p/>
              </w:tc>
              <w:tc>
                <w:tcPr>
                  <w:tcW w:type="dxa" w:w="1494"/>
                  <w:vMerge/>
                  <w:tcBorders>
                    <w:top w:val="none" w:color="000000" w:sz="4"/>
                    <w:left w:val="none" w:color="000000" w:sz="4"/>
                    <w:bottom w:val="single" w:color="000000" w:sz="4"/>
                    <w:right w:val="single" w:color="000000" w:sz="4"/>
                  </w:tcBorders>
                </w:tcPr>
                <w:p/>
              </w:tc>
              <w:tc>
                <w:tcPr>
                  <w:tcW w:type="dxa" w:w="572"/>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r>
                    <w:rPr>
                      <w:rFonts w:ascii="仿宋_GB2312" w:hAnsi="仿宋_GB2312" w:cs="仿宋_GB2312" w:eastAsia="仿宋_GB2312"/>
                      <w:sz w:val="21"/>
                    </w:rPr>
                    <w:t>%≤C＜100%</w:t>
                  </w:r>
                </w:p>
              </w:tc>
            </w:tr>
            <w:tr>
              <w:tc>
                <w:tcPr>
                  <w:tcW w:type="dxa" w:w="844"/>
                  <w:vMerge/>
                  <w:tcBorders>
                    <w:top w:val="none" w:color="000000" w:sz="4"/>
                    <w:left w:val="single" w:color="000000" w:sz="4"/>
                    <w:bottom w:val="single" w:color="000000" w:sz="4"/>
                    <w:right w:val="single" w:color="000000" w:sz="4"/>
                  </w:tcBorders>
                </w:tcPr>
                <w:p/>
              </w:tc>
              <w:tc>
                <w:tcPr>
                  <w:tcW w:type="dxa" w:w="1494"/>
                  <w:vMerge/>
                  <w:tcBorders>
                    <w:top w:val="none" w:color="000000" w:sz="4"/>
                    <w:left w:val="none" w:color="000000" w:sz="4"/>
                    <w:bottom w:val="single" w:color="000000" w:sz="4"/>
                    <w:right w:val="single" w:color="000000" w:sz="4"/>
                  </w:tcBorders>
                </w:tcPr>
                <w:p/>
              </w:tc>
              <w:tc>
                <w:tcPr>
                  <w:tcW w:type="dxa" w:w="572"/>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80%≤C＜</w:t>
                  </w:r>
                  <w:r>
                    <w:rPr>
                      <w:rFonts w:ascii="仿宋_GB2312" w:hAnsi="仿宋_GB2312" w:cs="仿宋_GB2312" w:eastAsia="仿宋_GB2312"/>
                      <w:sz w:val="21"/>
                    </w:rPr>
                    <w:t>90</w:t>
                  </w:r>
                  <w:r>
                    <w:rPr>
                      <w:rFonts w:ascii="仿宋_GB2312" w:hAnsi="仿宋_GB2312" w:cs="仿宋_GB2312" w:eastAsia="仿宋_GB2312"/>
                      <w:sz w:val="21"/>
                    </w:rPr>
                    <w:t>%</w:t>
                  </w:r>
                </w:p>
              </w:tc>
            </w:tr>
            <w:tr>
              <w:tc>
                <w:tcPr>
                  <w:tcW w:type="dxa" w:w="844"/>
                  <w:vMerge/>
                  <w:tcBorders>
                    <w:top w:val="none" w:color="000000" w:sz="4"/>
                    <w:left w:val="single" w:color="000000" w:sz="4"/>
                    <w:bottom w:val="single" w:color="000000" w:sz="4"/>
                    <w:right w:val="single" w:color="000000" w:sz="4"/>
                  </w:tcBorders>
                </w:tcPr>
                <w:p/>
              </w:tc>
              <w:tc>
                <w:tcPr>
                  <w:tcW w:type="dxa" w:w="1494"/>
                  <w:vMerge/>
                  <w:tcBorders>
                    <w:top w:val="none" w:color="000000" w:sz="4"/>
                    <w:left w:val="none" w:color="000000" w:sz="4"/>
                    <w:bottom w:val="single" w:color="000000" w:sz="4"/>
                    <w:right w:val="single" w:color="000000" w:sz="4"/>
                  </w:tcBorders>
                </w:tcPr>
                <w:p/>
              </w:tc>
              <w:tc>
                <w:tcPr>
                  <w:tcW w:type="dxa" w:w="572"/>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50%≤C＜80%</w:t>
                  </w:r>
                </w:p>
              </w:tc>
            </w:tr>
            <w:tr>
              <w:tc>
                <w:tcPr>
                  <w:tcW w:type="dxa" w:w="844"/>
                  <w:vMerge/>
                  <w:tcBorders>
                    <w:top w:val="none" w:color="000000" w:sz="4"/>
                    <w:left w:val="single" w:color="000000" w:sz="4"/>
                    <w:bottom w:val="single" w:color="000000" w:sz="4"/>
                    <w:right w:val="single" w:color="000000" w:sz="4"/>
                  </w:tcBorders>
                </w:tcPr>
                <w:p/>
              </w:tc>
              <w:tc>
                <w:tcPr>
                  <w:tcW w:type="dxa" w:w="1494"/>
                  <w:vMerge/>
                  <w:tcBorders>
                    <w:top w:val="none" w:color="000000" w:sz="4"/>
                    <w:left w:val="none" w:color="000000" w:sz="4"/>
                    <w:bottom w:val="single" w:color="000000" w:sz="4"/>
                    <w:right w:val="single" w:color="000000" w:sz="4"/>
                  </w:tcBorders>
                </w:tcPr>
                <w:p/>
              </w:tc>
              <w:tc>
                <w:tcPr>
                  <w:tcW w:type="dxa" w:w="572"/>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C＜50%</w:t>
                  </w:r>
                </w:p>
              </w:tc>
            </w:tr>
          </w:tbl>
          <w:p>
            <w:pPr>
              <w:pStyle w:val="null3"/>
              <w:ind w:firstLine="480"/>
              <w:jc w:val="both"/>
            </w:pPr>
            <w:r>
              <w:rPr>
                <w:rFonts w:ascii="仿宋_GB2312" w:hAnsi="仿宋_GB2312" w:cs="仿宋_GB2312" w:eastAsia="仿宋_GB2312"/>
                <w:sz w:val="24"/>
              </w:rPr>
              <w:t>考核结果：考核满分为平均</w:t>
            </w:r>
            <w:r>
              <w:rPr>
                <w:rFonts w:ascii="仿宋_GB2312" w:hAnsi="仿宋_GB2312" w:cs="仿宋_GB2312" w:eastAsia="仿宋_GB2312"/>
                <w:sz w:val="24"/>
              </w:rPr>
              <w:t>100分，考核分数=配送及时性+食材新鲜度+食材质量。当季度考核得分</w:t>
            </w:r>
            <w:r>
              <w:rPr>
                <w:rFonts w:ascii="仿宋_GB2312" w:hAnsi="仿宋_GB2312" w:cs="仿宋_GB2312" w:eastAsia="仿宋_GB2312"/>
                <w:sz w:val="24"/>
              </w:rPr>
              <w:t>低于以下三种情形时，</w:t>
            </w:r>
            <w:r>
              <w:rPr>
                <w:rFonts w:ascii="仿宋_GB2312" w:hAnsi="仿宋_GB2312" w:cs="仿宋_GB2312" w:eastAsia="仿宋_GB2312"/>
                <w:sz w:val="24"/>
              </w:rPr>
              <w:t>每低</w:t>
            </w:r>
            <w:r>
              <w:rPr>
                <w:rFonts w:ascii="仿宋_GB2312" w:hAnsi="仿宋_GB2312" w:cs="仿宋_GB2312" w:eastAsia="仿宋_GB2312"/>
                <w:sz w:val="24"/>
              </w:rPr>
              <w:t>1分</w:t>
            </w:r>
            <w:r>
              <w:rPr>
                <w:rFonts w:ascii="仿宋_GB2312" w:hAnsi="仿宋_GB2312" w:cs="仿宋_GB2312" w:eastAsia="仿宋_GB2312"/>
                <w:sz w:val="24"/>
              </w:rPr>
              <w:t>（</w:t>
            </w:r>
            <w:r>
              <w:rPr>
                <w:rFonts w:ascii="仿宋_GB2312" w:hAnsi="仿宋_GB2312" w:cs="仿宋_GB2312" w:eastAsia="仿宋_GB2312"/>
                <w:sz w:val="24"/>
              </w:rPr>
              <w:t>以最多扣除项计算，不累加</w:t>
            </w:r>
            <w:r>
              <w:rPr>
                <w:rFonts w:ascii="仿宋_GB2312" w:hAnsi="仿宋_GB2312" w:cs="仿宋_GB2312" w:eastAsia="仿宋_GB2312"/>
                <w:sz w:val="24"/>
              </w:rPr>
              <w:t>）</w:t>
            </w:r>
            <w:r>
              <w:rPr>
                <w:rFonts w:ascii="仿宋_GB2312" w:hAnsi="仿宋_GB2312" w:cs="仿宋_GB2312" w:eastAsia="仿宋_GB2312"/>
                <w:sz w:val="24"/>
              </w:rPr>
              <w:t>扣除当季</w:t>
            </w:r>
            <w:r>
              <w:rPr>
                <w:rFonts w:ascii="仿宋_GB2312" w:hAnsi="仿宋_GB2312" w:cs="仿宋_GB2312" w:eastAsia="仿宋_GB2312"/>
                <w:sz w:val="24"/>
              </w:rPr>
              <w:t>1%的食材采购费用</w:t>
            </w:r>
            <w:r>
              <w:rPr>
                <w:rFonts w:ascii="仿宋_GB2312" w:hAnsi="仿宋_GB2312" w:cs="仿宋_GB2312" w:eastAsia="仿宋_GB2312"/>
                <w:sz w:val="24"/>
              </w:rPr>
              <w:t>：</w:t>
            </w:r>
            <w:r>
              <w:rPr>
                <w:rFonts w:ascii="仿宋_GB2312" w:hAnsi="仿宋_GB2312" w:cs="仿宋_GB2312" w:eastAsia="仿宋_GB2312"/>
                <w:sz w:val="24"/>
              </w:rPr>
              <w:t>①季度考核得分</w:t>
            </w:r>
            <w:r>
              <w:rPr>
                <w:rFonts w:ascii="仿宋_GB2312" w:hAnsi="仿宋_GB2312" w:cs="仿宋_GB2312" w:eastAsia="仿宋_GB2312"/>
                <w:sz w:val="24"/>
              </w:rPr>
              <w:t>低于</w:t>
            </w:r>
            <w:r>
              <w:rPr>
                <w:rFonts w:ascii="仿宋_GB2312" w:hAnsi="仿宋_GB2312" w:cs="仿宋_GB2312" w:eastAsia="仿宋_GB2312"/>
                <w:sz w:val="24"/>
              </w:rPr>
              <w:t>80</w:t>
            </w:r>
            <w:r>
              <w:rPr>
                <w:rFonts w:ascii="仿宋_GB2312" w:hAnsi="仿宋_GB2312" w:cs="仿宋_GB2312" w:eastAsia="仿宋_GB2312"/>
                <w:sz w:val="24"/>
              </w:rPr>
              <w:t>分时</w:t>
            </w:r>
            <w:r>
              <w:rPr>
                <w:rFonts w:ascii="仿宋_GB2312" w:hAnsi="仿宋_GB2312" w:cs="仿宋_GB2312" w:eastAsia="仿宋_GB2312"/>
                <w:sz w:val="24"/>
              </w:rPr>
              <w:t>；</w:t>
            </w:r>
            <w:r>
              <w:rPr>
                <w:rFonts w:ascii="仿宋_GB2312" w:hAnsi="仿宋_GB2312" w:cs="仿宋_GB2312" w:eastAsia="仿宋_GB2312"/>
                <w:sz w:val="24"/>
              </w:rPr>
              <w:t>②</w:t>
            </w:r>
            <w:r>
              <w:rPr>
                <w:rFonts w:ascii="仿宋_GB2312" w:hAnsi="仿宋_GB2312" w:cs="仿宋_GB2312" w:eastAsia="仿宋_GB2312"/>
                <w:sz w:val="24"/>
              </w:rPr>
              <w:t>或食材新鲜度得分低于</w:t>
            </w:r>
            <w:r>
              <w:rPr>
                <w:rFonts w:ascii="仿宋_GB2312" w:hAnsi="仿宋_GB2312" w:cs="仿宋_GB2312" w:eastAsia="仿宋_GB2312"/>
                <w:sz w:val="24"/>
              </w:rPr>
              <w:t>25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③</w:t>
            </w:r>
            <w:r>
              <w:rPr>
                <w:rFonts w:ascii="仿宋_GB2312" w:hAnsi="仿宋_GB2312" w:cs="仿宋_GB2312" w:eastAsia="仿宋_GB2312"/>
                <w:sz w:val="24"/>
              </w:rPr>
              <w:t>或</w:t>
            </w:r>
            <w:r>
              <w:rPr>
                <w:rFonts w:ascii="仿宋_GB2312" w:hAnsi="仿宋_GB2312" w:cs="仿宋_GB2312" w:eastAsia="仿宋_GB2312"/>
                <w:sz w:val="24"/>
              </w:rPr>
              <w:t>食</w:t>
            </w:r>
            <w:r>
              <w:rPr>
                <w:rFonts w:ascii="仿宋_GB2312" w:hAnsi="仿宋_GB2312" w:cs="仿宋_GB2312" w:eastAsia="仿宋_GB2312"/>
                <w:sz w:val="24"/>
              </w:rPr>
              <w:t>材质量得分低于</w:t>
            </w:r>
            <w:r>
              <w:rPr>
                <w:rFonts w:ascii="仿宋_GB2312" w:hAnsi="仿宋_GB2312" w:cs="仿宋_GB2312" w:eastAsia="仿宋_GB2312"/>
                <w:sz w:val="24"/>
              </w:rPr>
              <w:t>30</w:t>
            </w:r>
            <w:r>
              <w:rPr>
                <w:rFonts w:ascii="仿宋_GB2312" w:hAnsi="仿宋_GB2312" w:cs="仿宋_GB2312" w:eastAsia="仿宋_GB2312"/>
                <w:sz w:val="24"/>
              </w:rPr>
              <w:t>分时</w:t>
            </w:r>
            <w:r>
              <w:rPr>
                <w:rFonts w:ascii="仿宋_GB2312" w:hAnsi="仿宋_GB2312" w:cs="仿宋_GB2312" w:eastAsia="仿宋_GB2312"/>
                <w:sz w:val="24"/>
              </w:rPr>
              <w:t>。</w:t>
            </w:r>
            <w:r>
              <w:rPr>
                <w:rFonts w:ascii="仿宋_GB2312" w:hAnsi="仿宋_GB2312" w:cs="仿宋_GB2312" w:eastAsia="仿宋_GB2312"/>
                <w:sz w:val="24"/>
              </w:rPr>
              <w:t>当</w:t>
            </w:r>
            <w:r>
              <w:rPr>
                <w:rFonts w:ascii="仿宋_GB2312" w:hAnsi="仿宋_GB2312" w:cs="仿宋_GB2312" w:eastAsia="仿宋_GB2312"/>
                <w:sz w:val="24"/>
              </w:rPr>
              <w:t>季度考核</w:t>
            </w:r>
            <w:r>
              <w:rPr>
                <w:rFonts w:ascii="仿宋_GB2312" w:hAnsi="仿宋_GB2312" w:cs="仿宋_GB2312" w:eastAsia="仿宋_GB2312"/>
                <w:sz w:val="24"/>
              </w:rPr>
              <w:t>得分低于</w:t>
            </w:r>
            <w:r>
              <w:rPr>
                <w:rFonts w:ascii="仿宋_GB2312" w:hAnsi="仿宋_GB2312" w:cs="仿宋_GB2312" w:eastAsia="仿宋_GB2312"/>
                <w:sz w:val="24"/>
              </w:rPr>
              <w:t>70</w:t>
            </w:r>
            <w:r>
              <w:rPr>
                <w:rFonts w:ascii="仿宋_GB2312" w:hAnsi="仿宋_GB2312" w:cs="仿宋_GB2312" w:eastAsia="仿宋_GB2312"/>
                <w:sz w:val="24"/>
              </w:rPr>
              <w:t>分时</w:t>
            </w:r>
            <w:r>
              <w:rPr>
                <w:rFonts w:ascii="仿宋_GB2312" w:hAnsi="仿宋_GB2312" w:cs="仿宋_GB2312" w:eastAsia="仿宋_GB2312"/>
                <w:sz w:val="24"/>
              </w:rPr>
              <w:t>、</w:t>
            </w:r>
            <w:r>
              <w:rPr>
                <w:rFonts w:ascii="仿宋_GB2312" w:hAnsi="仿宋_GB2312" w:cs="仿宋_GB2312" w:eastAsia="仿宋_GB2312"/>
                <w:sz w:val="24"/>
              </w:rPr>
              <w:t>或食材新鲜度得分低于</w:t>
            </w:r>
            <w:r>
              <w:rPr>
                <w:rFonts w:ascii="仿宋_GB2312" w:hAnsi="仿宋_GB2312" w:cs="仿宋_GB2312" w:eastAsia="仿宋_GB2312"/>
                <w:sz w:val="24"/>
              </w:rPr>
              <w:t>15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或食材质量得分低于</w:t>
            </w:r>
            <w:r>
              <w:rPr>
                <w:rFonts w:ascii="仿宋_GB2312" w:hAnsi="仿宋_GB2312" w:cs="仿宋_GB2312" w:eastAsia="仿宋_GB2312"/>
                <w:sz w:val="24"/>
              </w:rPr>
              <w:t>25</w:t>
            </w:r>
            <w:r>
              <w:rPr>
                <w:rFonts w:ascii="仿宋_GB2312" w:hAnsi="仿宋_GB2312" w:cs="仿宋_GB2312" w:eastAsia="仿宋_GB2312"/>
                <w:sz w:val="24"/>
              </w:rPr>
              <w:t>分时</w:t>
            </w:r>
            <w:r>
              <w:rPr>
                <w:rFonts w:ascii="仿宋_GB2312" w:hAnsi="仿宋_GB2312" w:cs="仿宋_GB2312" w:eastAsia="仿宋_GB2312"/>
                <w:sz w:val="24"/>
              </w:rPr>
              <w:t>，</w:t>
            </w:r>
            <w:r>
              <w:rPr>
                <w:rFonts w:ascii="仿宋_GB2312" w:hAnsi="仿宋_GB2312" w:cs="仿宋_GB2312" w:eastAsia="仿宋_GB2312"/>
                <w:sz w:val="24"/>
              </w:rPr>
              <w:t>采购人有权要求终止合同。</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标的名称：牛肉</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ind w:firstLine="46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符合</w:t>
            </w:r>
            <w:r>
              <w:rPr>
                <w:rFonts w:ascii="仿宋_GB2312" w:hAnsi="仿宋_GB2312" w:cs="仿宋_GB2312" w:eastAsia="仿宋_GB2312"/>
                <w:sz w:val="24"/>
                <w:color w:val="000000"/>
              </w:rPr>
              <w:t>《鲜、冻分割牛肉》</w:t>
            </w:r>
            <w:r>
              <w:rPr>
                <w:rFonts w:ascii="仿宋_GB2312" w:hAnsi="仿宋_GB2312" w:cs="仿宋_GB2312" w:eastAsia="仿宋_GB2312"/>
              </w:rPr>
              <w:t xml:space="preserve"> </w:t>
            </w:r>
            <w:r>
              <w:rPr>
                <w:rFonts w:ascii="仿宋_GB2312" w:hAnsi="仿宋_GB2312" w:cs="仿宋_GB2312" w:eastAsia="仿宋_GB2312"/>
                <w:sz w:val="24"/>
                <w:color w:val="000000"/>
              </w:rPr>
              <w:t>GB/T17238-2022 标准、</w:t>
            </w:r>
            <w:r>
              <w:rPr>
                <w:rFonts w:ascii="仿宋_GB2312" w:hAnsi="仿宋_GB2312" w:cs="仿宋_GB2312" w:eastAsia="仿宋_GB2312"/>
                <w:sz w:val="24"/>
              </w:rPr>
              <w:t>食品安全标准符合《食品安全国家标准鲜</w:t>
            </w:r>
            <w:r>
              <w:rPr>
                <w:rFonts w:ascii="仿宋_GB2312" w:hAnsi="仿宋_GB2312" w:cs="仿宋_GB2312" w:eastAsia="仿宋_GB2312"/>
                <w:sz w:val="24"/>
              </w:rPr>
              <w:t>(冻)畜、禽产品》（GB 2707-2016）、</w:t>
            </w:r>
            <w:r>
              <w:rPr>
                <w:rFonts w:ascii="仿宋_GB2312" w:hAnsi="仿宋_GB2312" w:cs="仿宋_GB2312" w:eastAsia="仿宋_GB2312"/>
                <w:sz w:val="24"/>
              </w:rPr>
              <w:t>《食品安全国家标准食品中</w:t>
            </w:r>
            <w:r>
              <w:rPr>
                <w:rFonts w:ascii="仿宋_GB2312" w:hAnsi="仿宋_GB2312" w:cs="仿宋_GB2312" w:eastAsia="仿宋_GB2312"/>
                <w:sz w:val="24"/>
              </w:rPr>
              <w:t>41种</w:t>
            </w:r>
            <w:r>
              <w:rPr>
                <w:rFonts w:ascii="仿宋_GB2312" w:hAnsi="仿宋_GB2312" w:cs="仿宋_GB2312" w:eastAsia="仿宋_GB2312"/>
                <w:sz w:val="24"/>
              </w:rPr>
              <w:t>兽药最大残留限量》</w:t>
            </w:r>
            <w:r>
              <w:rPr>
                <w:rFonts w:ascii="仿宋_GB2312" w:hAnsi="仿宋_GB2312" w:cs="仿宋_GB2312" w:eastAsia="仿宋_GB2312"/>
                <w:sz w:val="24"/>
              </w:rPr>
              <w:t>GB31650.1-2022标准。</w:t>
            </w:r>
            <w:r>
              <w:rPr>
                <w:rFonts w:ascii="仿宋_GB2312" w:hAnsi="仿宋_GB2312" w:cs="仿宋_GB2312" w:eastAsia="仿宋_GB2312"/>
                <w:sz w:val="24"/>
              </w:rPr>
              <w:t>活畜</w:t>
            </w:r>
            <w:r>
              <w:rPr>
                <w:rFonts w:ascii="仿宋_GB2312" w:hAnsi="仿宋_GB2312" w:cs="仿宋_GB2312" w:eastAsia="仿宋_GB2312"/>
                <w:sz w:val="24"/>
              </w:rPr>
              <w:t>宰杀、加工后</w:t>
            </w:r>
            <w:r>
              <w:rPr>
                <w:rFonts w:ascii="仿宋_GB2312" w:hAnsi="仿宋_GB2312" w:cs="仿宋_GB2312" w:eastAsia="仿宋_GB2312"/>
                <w:sz w:val="24"/>
              </w:rPr>
              <w:t>,不经过冷冻处理。严禁使用</w:t>
            </w:r>
            <w:r>
              <w:rPr>
                <w:rFonts w:ascii="仿宋_GB2312" w:hAnsi="仿宋_GB2312" w:cs="仿宋_GB2312" w:eastAsia="仿宋_GB2312"/>
                <w:sz w:val="24"/>
              </w:rPr>
              <w:t>进口、</w:t>
            </w:r>
            <w:r>
              <w:rPr>
                <w:rFonts w:ascii="仿宋_GB2312" w:hAnsi="仿宋_GB2312" w:cs="仿宋_GB2312" w:eastAsia="仿宋_GB2312"/>
                <w:sz w:val="24"/>
              </w:rPr>
              <w:t>注水、注胶、病</w:t>
            </w:r>
            <w:r>
              <w:rPr>
                <w:rFonts w:ascii="仿宋_GB2312" w:hAnsi="仿宋_GB2312" w:cs="仿宋_GB2312" w:eastAsia="仿宋_GB2312"/>
                <w:sz w:val="24"/>
              </w:rPr>
              <w:t>牛</w:t>
            </w:r>
            <w:r>
              <w:rPr>
                <w:rFonts w:ascii="仿宋_GB2312" w:hAnsi="仿宋_GB2312" w:cs="仿宋_GB2312" w:eastAsia="仿宋_GB2312"/>
                <w:sz w:val="24"/>
              </w:rPr>
              <w:t>、死</w:t>
            </w:r>
            <w:r>
              <w:rPr>
                <w:rFonts w:ascii="仿宋_GB2312" w:hAnsi="仿宋_GB2312" w:cs="仿宋_GB2312" w:eastAsia="仿宋_GB2312"/>
                <w:sz w:val="24"/>
              </w:rPr>
              <w:t>牛</w:t>
            </w:r>
            <w:r>
              <w:rPr>
                <w:rFonts w:ascii="仿宋_GB2312" w:hAnsi="仿宋_GB2312" w:cs="仿宋_GB2312" w:eastAsia="仿宋_GB2312"/>
                <w:sz w:val="24"/>
              </w:rPr>
              <w:t>。</w:t>
            </w:r>
            <w:r>
              <w:rPr>
                <w:rFonts w:ascii="仿宋_GB2312" w:hAnsi="仿宋_GB2312" w:cs="仿宋_GB2312" w:eastAsia="仿宋_GB2312"/>
                <w:sz w:val="24"/>
              </w:rPr>
              <w:t>（须单独提供承诺函的扫描件并加盖投标供应商的电子签章。承诺函格式自拟，但需体现项目名称、项目编号、供应商名称、所承诺事项内容等信息。）</w:t>
            </w:r>
          </w:p>
          <w:p>
            <w:pPr>
              <w:pStyle w:val="null3"/>
              <w:ind w:firstLine="46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根据学生人数和食用量标准，满足全区学校要求的分割</w:t>
            </w:r>
            <w:r>
              <w:rPr>
                <w:rFonts w:ascii="仿宋_GB2312" w:hAnsi="仿宋_GB2312" w:cs="仿宋_GB2312" w:eastAsia="仿宋_GB2312"/>
                <w:sz w:val="24"/>
                <w:color w:val="000000"/>
              </w:rPr>
              <w:t>牛</w:t>
            </w:r>
            <w:r>
              <w:rPr>
                <w:rFonts w:ascii="仿宋_GB2312" w:hAnsi="仿宋_GB2312" w:cs="仿宋_GB2312" w:eastAsia="仿宋_GB2312"/>
                <w:sz w:val="24"/>
                <w:color w:val="000000"/>
              </w:rPr>
              <w:t>肉。</w:t>
            </w:r>
          </w:p>
          <w:p>
            <w:pPr>
              <w:pStyle w:val="null3"/>
              <w:ind w:firstLine="464"/>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当日</w:t>
            </w:r>
            <w:r>
              <w:rPr>
                <w:rFonts w:ascii="仿宋_GB2312" w:hAnsi="仿宋_GB2312" w:cs="仿宋_GB2312" w:eastAsia="仿宋_GB2312"/>
                <w:sz w:val="24"/>
              </w:rPr>
              <w:t>宰杀。</w:t>
            </w:r>
            <w:r>
              <w:rPr>
                <w:rFonts w:ascii="仿宋_GB2312" w:hAnsi="仿宋_GB2312" w:cs="仿宋_GB2312" w:eastAsia="仿宋_GB2312"/>
                <w:sz w:val="24"/>
              </w:rPr>
              <w:t>分割鲜</w:t>
            </w:r>
            <w:r>
              <w:rPr>
                <w:rFonts w:ascii="仿宋_GB2312" w:hAnsi="仿宋_GB2312" w:cs="仿宋_GB2312" w:eastAsia="仿宋_GB2312"/>
                <w:sz w:val="24"/>
              </w:rPr>
              <w:t>牛</w:t>
            </w:r>
            <w:r>
              <w:rPr>
                <w:rFonts w:ascii="仿宋_GB2312" w:hAnsi="仿宋_GB2312" w:cs="仿宋_GB2312" w:eastAsia="仿宋_GB2312"/>
                <w:sz w:val="24"/>
              </w:rPr>
              <w:t>肉</w:t>
            </w:r>
            <w:r>
              <w:rPr>
                <w:rFonts w:ascii="仿宋_GB2312" w:hAnsi="仿宋_GB2312" w:cs="仿宋_GB2312" w:eastAsia="仿宋_GB2312"/>
                <w:sz w:val="24"/>
              </w:rPr>
              <w:t>，</w:t>
            </w:r>
            <w:r>
              <w:rPr>
                <w:rFonts w:ascii="仿宋_GB2312" w:hAnsi="仿宋_GB2312" w:cs="仿宋_GB2312" w:eastAsia="仿宋_GB2312"/>
                <w:sz w:val="24"/>
              </w:rPr>
              <w:t>切面纹理清晰</w:t>
            </w:r>
            <w:r>
              <w:rPr>
                <w:rFonts w:ascii="仿宋_GB2312" w:hAnsi="仿宋_GB2312" w:cs="仿宋_GB2312" w:eastAsia="仿宋_GB2312"/>
                <w:sz w:val="24"/>
              </w:rPr>
              <w:t>，</w:t>
            </w:r>
            <w:r>
              <w:rPr>
                <w:rFonts w:ascii="仿宋_GB2312" w:hAnsi="仿宋_GB2312" w:cs="仿宋_GB2312" w:eastAsia="仿宋_GB2312"/>
                <w:sz w:val="24"/>
              </w:rPr>
              <w:t>形态丰满，肉质紧密。肥厚满足学生营养需求。</w:t>
            </w:r>
            <w:r>
              <w:rPr>
                <w:rFonts w:ascii="仿宋_GB2312" w:hAnsi="仿宋_GB2312" w:cs="仿宋_GB2312" w:eastAsia="仿宋_GB2312"/>
                <w:sz w:val="24"/>
                <w:color w:val="000000"/>
              </w:rPr>
              <w:t>送货时提供《动物检疫合格证明》《肉品品质检验合格证明》。《动物检疫合格证明》是</w:t>
            </w:r>
            <w:r>
              <w:rPr>
                <w:rFonts w:ascii="仿宋_GB2312" w:hAnsi="仿宋_GB2312" w:cs="仿宋_GB2312" w:eastAsia="仿宋_GB2312"/>
                <w:sz w:val="24"/>
                <w:color w:val="000000"/>
              </w:rPr>
              <w:t>产地动物卫生机构出具的，以满足</w:t>
            </w:r>
            <w:r>
              <w:rPr>
                <w:rFonts w:ascii="仿宋_GB2312" w:hAnsi="仿宋_GB2312" w:cs="仿宋_GB2312" w:eastAsia="仿宋_GB2312"/>
                <w:sz w:val="24"/>
                <w:color w:val="000000"/>
              </w:rPr>
              <w:t>该批次肉类符合生牛溯源体系的要求。</w:t>
            </w:r>
          </w:p>
          <w:p>
            <w:pPr>
              <w:pStyle w:val="null3"/>
              <w:ind w:firstLine="464"/>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使用专用</w:t>
            </w:r>
            <w:r>
              <w:rPr>
                <w:rFonts w:ascii="仿宋_GB2312" w:hAnsi="仿宋_GB2312" w:cs="仿宋_GB2312" w:eastAsia="仿宋_GB2312"/>
                <w:sz w:val="24"/>
                <w:color w:val="000000"/>
              </w:rPr>
              <w:t>冷链运输车辆或冷藏运输车辆</w:t>
            </w:r>
            <w:r>
              <w:rPr>
                <w:rFonts w:ascii="仿宋_GB2312" w:hAnsi="仿宋_GB2312" w:cs="仿宋_GB2312" w:eastAsia="仿宋_GB2312"/>
                <w:sz w:val="24"/>
                <w:color w:val="000000"/>
              </w:rPr>
              <w:t>，当日上午</w:t>
            </w:r>
            <w:r>
              <w:rPr>
                <w:rFonts w:ascii="仿宋_GB2312" w:hAnsi="仿宋_GB2312" w:cs="仿宋_GB2312" w:eastAsia="仿宋_GB2312"/>
                <w:sz w:val="24"/>
                <w:color w:val="000000"/>
              </w:rPr>
              <w:t>6时前配送到各个项目学校。</w:t>
            </w:r>
            <w:r>
              <w:rPr>
                <w:rFonts w:ascii="仿宋_GB2312" w:hAnsi="仿宋_GB2312" w:cs="仿宋_GB2312" w:eastAsia="仿宋_GB2312"/>
                <w:sz w:val="24"/>
              </w:rPr>
              <w:t>（</w:t>
            </w:r>
            <w:r>
              <w:rPr>
                <w:rFonts w:ascii="仿宋_GB2312" w:hAnsi="仿宋_GB2312" w:cs="仿宋_GB2312" w:eastAsia="仿宋_GB2312"/>
                <w:sz w:val="24"/>
              </w:rPr>
              <w:t>须单独提供承诺函的扫描件并加盖投标供应商的电子签章。承诺函格式自拟，但需体现项目名称、项目编号、供应商名称、所承诺事项内容等信息。）</w:t>
            </w:r>
          </w:p>
          <w:p>
            <w:pPr>
              <w:pStyle w:val="null3"/>
              <w:ind w:firstLine="464"/>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主要参数</w:t>
            </w:r>
            <w:r>
              <w:rPr>
                <w:rFonts w:ascii="仿宋_GB2312" w:hAnsi="仿宋_GB2312" w:cs="仿宋_GB2312" w:eastAsia="仿宋_GB2312"/>
                <w:sz w:val="24"/>
                <w:b/>
                <w:color w:val="000000"/>
              </w:rPr>
              <w:t>列表</w:t>
            </w:r>
          </w:p>
          <w:tbl>
            <w:tblPr>
              <w:tblBorders>
                <w:top w:val="none" w:color="000000" w:sz="4"/>
                <w:left w:val="none" w:color="000000" w:sz="4"/>
                <w:bottom w:val="none" w:color="000000" w:sz="4"/>
                <w:right w:val="none" w:color="000000" w:sz="4"/>
                <w:insideH w:val="none"/>
                <w:insideV w:val="none"/>
              </w:tblBorders>
            </w:tblPr>
            <w:tblGrid>
              <w:gridCol w:w="570"/>
              <w:gridCol w:w="939"/>
              <w:gridCol w:w="1399"/>
              <w:gridCol w:w="2688"/>
            </w:tblGrid>
            <w:tr>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r>
                    <w:rPr>
                      <w:rFonts w:ascii="仿宋_GB2312" w:hAnsi="仿宋_GB2312" w:cs="仿宋_GB2312" w:eastAsia="仿宋_GB2312"/>
                      <w:sz w:val="24"/>
                      <w:b/>
                    </w:rPr>
                    <w:t>名称</w:t>
                  </w:r>
                </w:p>
              </w:tc>
              <w:tc>
                <w:tcPr>
                  <w:tcW w:type="dxa" w:w="1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指标</w:t>
                  </w:r>
                </w:p>
              </w:tc>
              <w:tc>
                <w:tcPr>
                  <w:tcW w:type="dxa" w:w="26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w:t>
                  </w:r>
                  <w:r>
                    <w:rPr>
                      <w:rFonts w:ascii="仿宋_GB2312" w:hAnsi="仿宋_GB2312" w:cs="仿宋_GB2312" w:eastAsia="仿宋_GB2312"/>
                      <w:sz w:val="24"/>
                      <w:b/>
                    </w:rPr>
                    <w:t>要求</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挥发性盐基氮（</w:t>
                  </w:r>
                  <w:r>
                    <w:rPr>
                      <w:rFonts w:ascii="仿宋_GB2312" w:hAnsi="仿宋_GB2312" w:cs="仿宋_GB2312" w:eastAsia="仿宋_GB2312"/>
                      <w:sz w:val="24"/>
                    </w:rPr>
                    <w:t>mg/100g）</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r>
                    <w:rPr>
                      <w:rFonts w:ascii="仿宋_GB2312" w:hAnsi="仿宋_GB2312" w:cs="仿宋_GB2312" w:eastAsia="仿宋_GB2312"/>
                      <w:sz w:val="19"/>
                    </w:rPr>
                    <w:t xml:space="preserve"> </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鲜</w:t>
                  </w:r>
                  <w:r>
                    <w:rPr>
                      <w:rFonts w:ascii="仿宋_GB2312" w:hAnsi="仿宋_GB2312" w:cs="仿宋_GB2312" w:eastAsia="仿宋_GB2312"/>
                      <w:sz w:val="24"/>
                    </w:rPr>
                    <w:t>牛</w:t>
                  </w:r>
                  <w:r>
                    <w:rPr>
                      <w:rFonts w:ascii="仿宋_GB2312" w:hAnsi="仿宋_GB2312" w:cs="仿宋_GB2312" w:eastAsia="仿宋_GB2312"/>
                      <w:sz w:val="24"/>
                    </w:rPr>
                    <w:t>肉</w:t>
                  </w:r>
                </w:p>
                <w:p>
                  <w:pPr>
                    <w:pStyle w:val="null3"/>
                    <w:jc w:val="center"/>
                  </w:pPr>
                  <w:r>
                    <w:rPr>
                      <w:rFonts w:ascii="仿宋_GB2312" w:hAnsi="仿宋_GB2312" w:cs="仿宋_GB2312" w:eastAsia="仿宋_GB2312"/>
                      <w:sz w:val="24"/>
                    </w:rPr>
                    <w:t>感官</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色泽</w:t>
                  </w:r>
                </w:p>
              </w:tc>
              <w:tc>
                <w:tcPr>
                  <w:tcW w:type="dxa" w:w="2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肌肉有光泽，色鲜红或深红；脂肪呈乳白色或淡黄色。</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39"/>
                  <w:vMerge/>
                  <w:tcBorders>
                    <w:top w:val="none" w:color="000000" w:sz="4"/>
                    <w:left w:val="non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弹性</w:t>
                  </w:r>
                  <w:r>
                    <w:rPr>
                      <w:rFonts w:ascii="仿宋_GB2312" w:hAnsi="仿宋_GB2312" w:cs="仿宋_GB2312" w:eastAsia="仿宋_GB2312"/>
                      <w:sz w:val="24"/>
                    </w:rPr>
                    <w:t>(组织状态)</w:t>
                  </w:r>
                </w:p>
              </w:tc>
              <w:tc>
                <w:tcPr>
                  <w:tcW w:type="dxa" w:w="2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指压后的凹陷</w:t>
                  </w:r>
                  <w:r>
                    <w:rPr>
                      <w:rFonts w:ascii="仿宋_GB2312" w:hAnsi="仿宋_GB2312" w:cs="仿宋_GB2312" w:eastAsia="仿宋_GB2312"/>
                      <w:sz w:val="24"/>
                    </w:rPr>
                    <w:t>可</w:t>
                  </w:r>
                  <w:r>
                    <w:rPr>
                      <w:rFonts w:ascii="仿宋_GB2312" w:hAnsi="仿宋_GB2312" w:cs="仿宋_GB2312" w:eastAsia="仿宋_GB2312"/>
                      <w:sz w:val="24"/>
                    </w:rPr>
                    <w:t>恢复。</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39"/>
                  <w:vMerge/>
                  <w:tcBorders>
                    <w:top w:val="none" w:color="000000" w:sz="4"/>
                    <w:left w:val="non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杂质</w:t>
                  </w:r>
                </w:p>
              </w:tc>
              <w:tc>
                <w:tcPr>
                  <w:tcW w:type="dxa" w:w="2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无正常视力可见外来异物</w:t>
                  </w:r>
                  <w:r>
                    <w:rPr>
                      <w:rFonts w:ascii="仿宋_GB2312" w:hAnsi="仿宋_GB2312" w:cs="仿宋_GB2312" w:eastAsia="仿宋_GB2312"/>
                      <w:sz w:val="24"/>
                    </w:rPr>
                    <w:t>。</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39"/>
                  <w:vMerge/>
                  <w:tcBorders>
                    <w:top w:val="none" w:color="000000" w:sz="4"/>
                    <w:left w:val="non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气味</w:t>
                  </w:r>
                </w:p>
              </w:tc>
              <w:tc>
                <w:tcPr>
                  <w:tcW w:type="dxa" w:w="2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具有鲜牛肉正常的气味。</w:t>
                  </w:r>
                </w:p>
              </w:tc>
            </w:tr>
            <w:tr>
              <w:tc>
                <w:tcPr>
                  <w:tcW w:type="dxa" w:w="559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备注：以上</w:t>
                  </w:r>
                  <w:r>
                    <w:rPr>
                      <w:rFonts w:ascii="仿宋_GB2312" w:hAnsi="仿宋_GB2312" w:cs="仿宋_GB2312" w:eastAsia="仿宋_GB2312"/>
                      <w:sz w:val="21"/>
                      <w:color w:val="000000"/>
                    </w:rPr>
                    <w:t>5项主要参数供应商必须响应，并提供</w:t>
                  </w:r>
                  <w:r>
                    <w:rPr>
                      <w:rFonts w:ascii="仿宋_GB2312" w:hAnsi="仿宋_GB2312" w:cs="仿宋_GB2312" w:eastAsia="仿宋_GB2312"/>
                      <w:sz w:val="21"/>
                      <w:color w:val="000000"/>
                    </w:rPr>
                    <w:t>带有</w:t>
                  </w:r>
                  <w:r>
                    <w:rPr>
                      <w:rFonts w:ascii="仿宋_GB2312" w:hAnsi="仿宋_GB2312" w:cs="仿宋_GB2312" w:eastAsia="仿宋_GB2312"/>
                      <w:sz w:val="21"/>
                      <w:color w:val="000000"/>
                    </w:rPr>
                    <w:t>C</w:t>
                  </w:r>
                  <w:r>
                    <w:rPr>
                      <w:rFonts w:ascii="仿宋_GB2312" w:hAnsi="仿宋_GB2312" w:cs="仿宋_GB2312" w:eastAsia="仿宋_GB2312"/>
                      <w:sz w:val="21"/>
                      <w:color w:val="000000"/>
                    </w:rPr>
                    <w:t>MA标志的检测报告</w:t>
                  </w:r>
                  <w:r>
                    <w:rPr>
                      <w:rFonts w:ascii="仿宋_GB2312" w:hAnsi="仿宋_GB2312" w:cs="仿宋_GB2312" w:eastAsia="仿宋_GB2312"/>
                      <w:sz w:val="21"/>
                      <w:color w:val="000000"/>
                    </w:rPr>
                    <w:t>（报告内容须包含以上</w:t>
                  </w:r>
                  <w:r>
                    <w:rPr>
                      <w:rFonts w:ascii="仿宋_GB2312" w:hAnsi="仿宋_GB2312" w:cs="仿宋_GB2312" w:eastAsia="仿宋_GB2312"/>
                      <w:sz w:val="21"/>
                      <w:color w:val="000000"/>
                    </w:rPr>
                    <w:t>5项指标）</w:t>
                  </w:r>
                  <w:r>
                    <w:rPr>
                      <w:rFonts w:ascii="仿宋_GB2312" w:hAnsi="仿宋_GB2312" w:cs="仿宋_GB2312" w:eastAsia="仿宋_GB2312"/>
                      <w:sz w:val="21"/>
                      <w:b/>
                      <w:color w:val="000000"/>
                    </w:rPr>
                    <w:t>。</w:t>
                  </w:r>
                  <w:r>
                    <w:rPr>
                      <w:rFonts w:ascii="仿宋_GB2312" w:hAnsi="仿宋_GB2312" w:cs="仿宋_GB2312" w:eastAsia="仿宋_GB2312"/>
                      <w:sz w:val="21"/>
                      <w:color w:val="000000"/>
                    </w:rPr>
                    <w:t>”</w:t>
                  </w:r>
                </w:p>
              </w:tc>
            </w:tr>
          </w:tbl>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ind w:firstLine="482"/>
              <w:jc w:val="center"/>
            </w:pPr>
            <w:r>
              <w:rPr>
                <w:rFonts w:ascii="仿宋_GB2312" w:hAnsi="仿宋_GB2312" w:cs="仿宋_GB2312" w:eastAsia="仿宋_GB2312"/>
                <w:sz w:val="24"/>
                <w:b/>
              </w:rPr>
              <w:t>一、其他要求</w:t>
            </w:r>
          </w:p>
          <w:p>
            <w:pPr>
              <w:pStyle w:val="null3"/>
              <w:ind w:firstLine="480"/>
              <w:jc w:val="both"/>
            </w:pPr>
            <w:r>
              <w:rPr>
                <w:rFonts w:ascii="仿宋_GB2312" w:hAnsi="仿宋_GB2312" w:cs="仿宋_GB2312" w:eastAsia="仿宋_GB2312"/>
                <w:sz w:val="24"/>
              </w:rPr>
              <w:t>1.配送方式：供应商必须按学校报的计划，准时无误的配送到各学校。在配送过程中如有破损、污染或其它质量等问题，供应商无条件更换，配送时供货商应负责送到指定学校仓库按照相应产品的仓储规范堆放整齐，在堆放整齐前的一切安全等责任由供应商全权负责。</w:t>
            </w:r>
          </w:p>
          <w:p>
            <w:pPr>
              <w:pStyle w:val="null3"/>
              <w:ind w:firstLine="480"/>
              <w:jc w:val="both"/>
            </w:pPr>
            <w:r>
              <w:rPr>
                <w:rFonts w:ascii="仿宋_GB2312" w:hAnsi="仿宋_GB2312" w:cs="仿宋_GB2312" w:eastAsia="仿宋_GB2312"/>
                <w:sz w:val="24"/>
              </w:rPr>
              <w:t>2.结算方式：(1)在配送期间内牛肉系鲜活产品，市场价格波动较大，合同期内按四川省发展和改革委员会</w:t>
            </w:r>
            <w:r>
              <w:rPr>
                <w:rFonts w:ascii="仿宋_GB2312" w:hAnsi="仿宋_GB2312" w:cs="仿宋_GB2312" w:eastAsia="仿宋_GB2312"/>
                <w:sz w:val="24"/>
              </w:rPr>
              <w:t>官网（</w:t>
            </w:r>
            <w:r>
              <w:rPr>
                <w:rFonts w:ascii="仿宋_GB2312" w:hAnsi="仿宋_GB2312" w:cs="仿宋_GB2312" w:eastAsia="仿宋_GB2312"/>
                <w:sz w:val="24"/>
              </w:rPr>
              <w:t>https://fgw.sc.gov.cn/）</w:t>
            </w:r>
            <w:r>
              <w:rPr>
                <w:rFonts w:ascii="仿宋_GB2312" w:hAnsi="仿宋_GB2312" w:cs="仿宋_GB2312" w:eastAsia="仿宋_GB2312"/>
                <w:sz w:val="24"/>
              </w:rPr>
              <w:t>每月发布的《四川省城市居民食品价格监测表）价格为基础，按中标时的下浮比例分类据实结算，合同期间内不进行价格调整。</w:t>
            </w:r>
            <w:r>
              <w:rPr>
                <w:rFonts w:ascii="仿宋_GB2312" w:hAnsi="仿宋_GB2312" w:cs="仿宋_GB2312" w:eastAsia="仿宋_GB2312"/>
                <w:sz w:val="24"/>
              </w:rPr>
              <w:t>(2)具体配送数量以学校实际使用的为准。</w:t>
            </w:r>
          </w:p>
          <w:p>
            <w:pPr>
              <w:pStyle w:val="null3"/>
              <w:ind w:firstLine="480"/>
              <w:jc w:val="both"/>
            </w:pPr>
            <w:r>
              <w:rPr>
                <w:rFonts w:ascii="仿宋_GB2312" w:hAnsi="仿宋_GB2312" w:cs="仿宋_GB2312" w:eastAsia="仿宋_GB2312"/>
                <w:sz w:val="24"/>
              </w:rPr>
              <w:t>3.中标供应商与采购人签订合同前，需向采购人提供食品安全承诺书（格式自拟）。</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供应商若中标后，应当在采购人当地成立专门服务机构，建立满足采购需求的配送机构，</w:t>
            </w:r>
            <w:r>
              <w:rPr>
                <w:rFonts w:ascii="仿宋_GB2312" w:hAnsi="仿宋_GB2312" w:cs="仿宋_GB2312" w:eastAsia="仿宋_GB2312"/>
                <w:sz w:val="24"/>
              </w:rPr>
              <w:t>确保配送区域内每一所学校都有合理的配送路线，按照学校要求按时按量配送到位。</w:t>
            </w:r>
          </w:p>
          <w:p>
            <w:pPr>
              <w:pStyle w:val="null3"/>
              <w:ind w:firstLine="480"/>
              <w:jc w:val="both"/>
            </w:pPr>
            <w:r>
              <w:rPr>
                <w:rFonts w:ascii="仿宋_GB2312" w:hAnsi="仿宋_GB2312" w:cs="仿宋_GB2312" w:eastAsia="仿宋_GB2312"/>
                <w:sz w:val="24"/>
              </w:rPr>
              <w:t>5.供应商若中标后，应配备满足采购需求的售后人员和配送人员以及配送车辆，确保配送效率。</w:t>
            </w:r>
          </w:p>
          <w:p>
            <w:pPr>
              <w:pStyle w:val="null3"/>
              <w:ind w:firstLine="480"/>
              <w:jc w:val="both"/>
            </w:pPr>
            <w:r>
              <w:rPr>
                <w:rFonts w:ascii="仿宋_GB2312" w:hAnsi="仿宋_GB2312" w:cs="仿宋_GB2312" w:eastAsia="仿宋_GB2312"/>
                <w:sz w:val="24"/>
              </w:rPr>
              <w:t>6.供应商若中标后，每学期定期或不定期接受相关职能部门抽样检验，并按要求提供有关档案材料。</w:t>
            </w:r>
          </w:p>
          <w:p>
            <w:pPr>
              <w:pStyle w:val="null3"/>
              <w:ind w:firstLine="480"/>
              <w:jc w:val="both"/>
            </w:pPr>
            <w:r>
              <w:rPr>
                <w:rFonts w:ascii="仿宋_GB2312" w:hAnsi="仿宋_GB2312" w:cs="仿宋_GB2312" w:eastAsia="仿宋_GB2312"/>
                <w:sz w:val="24"/>
              </w:rPr>
              <w:t>7.供应商若中标后，协助采购人开展食品安全宣传和培训工作。</w:t>
            </w:r>
          </w:p>
          <w:p>
            <w:pPr>
              <w:pStyle w:val="null3"/>
              <w:ind w:firstLine="480"/>
              <w:jc w:val="both"/>
            </w:pPr>
            <w:r>
              <w:rPr>
                <w:rFonts w:ascii="仿宋_GB2312" w:hAnsi="仿宋_GB2312" w:cs="仿宋_GB2312" w:eastAsia="仿宋_GB2312"/>
                <w:sz w:val="24"/>
              </w:rPr>
              <w:t>8.若因实施的学校在校学生人数自然减少时或因不可抗力事件导致食用天数减少时，将按照在校学生实际食用人数和食用天数配送。</w:t>
            </w:r>
          </w:p>
          <w:p>
            <w:pPr>
              <w:pStyle w:val="null3"/>
              <w:ind w:firstLine="480"/>
              <w:jc w:val="both"/>
            </w:pPr>
            <w:r>
              <w:rPr>
                <w:rFonts w:ascii="仿宋_GB2312" w:hAnsi="仿宋_GB2312" w:cs="仿宋_GB2312" w:eastAsia="仿宋_GB2312"/>
                <w:sz w:val="24"/>
              </w:rPr>
              <w:t>9.配送方案。（包括：①配送人员分工；②配送人员职责；③配送车辆配置；④配送线路规划；⑤配送应急措施；⑥配送服务承诺等。）</w:t>
            </w:r>
          </w:p>
          <w:p>
            <w:pPr>
              <w:pStyle w:val="null3"/>
              <w:ind w:firstLine="480"/>
              <w:jc w:val="both"/>
            </w:pPr>
            <w:r>
              <w:rPr>
                <w:rFonts w:ascii="仿宋_GB2312" w:hAnsi="仿宋_GB2312" w:cs="仿宋_GB2312" w:eastAsia="仿宋_GB2312"/>
                <w:sz w:val="24"/>
              </w:rPr>
              <w:t>10.售后服务方案。（包括：①服务机构设置；②售后服务响应时间；③售后人员的配置；④售后网点的配置；⑤售后保障措施；⑥售后服务承诺等。）</w:t>
            </w:r>
          </w:p>
          <w:p>
            <w:pPr>
              <w:pStyle w:val="null3"/>
              <w:ind w:firstLine="480"/>
              <w:jc w:val="both"/>
            </w:pPr>
            <w:r>
              <w:rPr>
                <w:rFonts w:ascii="仿宋_GB2312" w:hAnsi="仿宋_GB2312" w:cs="仿宋_GB2312" w:eastAsia="仿宋_GB2312"/>
                <w:sz w:val="24"/>
              </w:rPr>
              <w:t>11.安全应急方案。（包括：①应急组织机构与职责；②应急响应措施；③应急保障预案；④食品安全追溯体系等。）</w:t>
            </w:r>
          </w:p>
          <w:p>
            <w:pPr>
              <w:pStyle w:val="null3"/>
              <w:ind w:firstLine="480"/>
              <w:jc w:val="both"/>
            </w:pPr>
            <w:r>
              <w:rPr>
                <w:rFonts w:ascii="仿宋_GB2312" w:hAnsi="仿宋_GB2312" w:cs="仿宋_GB2312" w:eastAsia="仿宋_GB2312"/>
                <w:sz w:val="21"/>
              </w:rPr>
              <w:t>12.安全责任：</w:t>
            </w:r>
            <w:r>
              <w:rPr>
                <w:rFonts w:ascii="仿宋_GB2312" w:hAnsi="仿宋_GB2312" w:cs="仿宋_GB2312" w:eastAsia="仿宋_GB2312"/>
                <w:sz w:val="21"/>
                <w:color w:val="000000"/>
              </w:rPr>
              <w:t>投标人针对所投产品的食品安全保</w:t>
            </w:r>
            <w:r>
              <w:rPr>
                <w:rFonts w:ascii="仿宋_GB2312" w:hAnsi="仿宋_GB2312" w:cs="仿宋_GB2312" w:eastAsia="仿宋_GB2312"/>
                <w:sz w:val="21"/>
                <w:color w:val="000000"/>
              </w:rPr>
              <w:t>障提供食品安全责任保单</w:t>
            </w:r>
            <w:r>
              <w:rPr>
                <w:rFonts w:ascii="仿宋_GB2312" w:hAnsi="仿宋_GB2312" w:cs="仿宋_GB2312" w:eastAsia="仿宋_GB2312"/>
                <w:sz w:val="21"/>
                <w:color w:val="000000"/>
              </w:rPr>
              <w:t>，</w:t>
            </w:r>
            <w:r>
              <w:rPr>
                <w:rFonts w:ascii="仿宋_GB2312" w:hAnsi="仿宋_GB2312" w:cs="仿宋_GB2312" w:eastAsia="仿宋_GB2312"/>
                <w:sz w:val="21"/>
                <w:color w:val="000000"/>
              </w:rPr>
              <w:t>保额</w:t>
            </w:r>
            <w:r>
              <w:rPr>
                <w:rFonts w:ascii="仿宋_GB2312" w:hAnsi="仿宋_GB2312" w:cs="仿宋_GB2312" w:eastAsia="仿宋_GB2312"/>
                <w:sz w:val="21"/>
                <w:color w:val="000000"/>
              </w:rPr>
              <w:t>≥3000万</w:t>
            </w:r>
            <w:r>
              <w:rPr>
                <w:rFonts w:ascii="仿宋_GB2312" w:hAnsi="仿宋_GB2312" w:cs="仿宋_GB2312" w:eastAsia="仿宋_GB2312"/>
                <w:sz w:val="21"/>
                <w:color w:val="000000"/>
              </w:rPr>
              <w:t>。</w:t>
            </w:r>
          </w:p>
          <w:p>
            <w:pPr>
              <w:pStyle w:val="null3"/>
              <w:ind w:firstLine="480"/>
              <w:jc w:val="both"/>
            </w:pPr>
            <w:r>
              <w:rPr>
                <w:rFonts w:ascii="仿宋_GB2312" w:hAnsi="仿宋_GB2312" w:cs="仿宋_GB2312" w:eastAsia="仿宋_GB2312"/>
                <w:sz w:val="24"/>
              </w:rPr>
              <w:t>13.履约保障能力</w:t>
            </w:r>
          </w:p>
          <w:p>
            <w:pPr>
              <w:pStyle w:val="null3"/>
              <w:ind w:firstLine="480"/>
              <w:jc w:val="both"/>
            </w:pPr>
            <w:r>
              <w:rPr>
                <w:rFonts w:ascii="仿宋_GB2312" w:hAnsi="仿宋_GB2312" w:cs="仿宋_GB2312" w:eastAsia="仿宋_GB2312"/>
                <w:sz w:val="24"/>
              </w:rPr>
              <w:t>13.1投标人提供</w:t>
            </w:r>
            <w:r>
              <w:rPr>
                <w:rFonts w:ascii="仿宋_GB2312" w:hAnsi="仿宋_GB2312" w:cs="仿宋_GB2312" w:eastAsia="仿宋_GB2312"/>
                <w:sz w:val="24"/>
              </w:rPr>
              <w:t>2022</w:t>
            </w:r>
            <w:r>
              <w:rPr>
                <w:rFonts w:ascii="仿宋_GB2312" w:hAnsi="仿宋_GB2312" w:cs="仿宋_GB2312" w:eastAsia="仿宋_GB2312"/>
                <w:sz w:val="24"/>
              </w:rPr>
              <w:t>年</w:t>
            </w:r>
            <w:r>
              <w:rPr>
                <w:rFonts w:ascii="仿宋_GB2312" w:hAnsi="仿宋_GB2312" w:cs="仿宋_GB2312" w:eastAsia="仿宋_GB2312"/>
                <w:sz w:val="24"/>
              </w:rPr>
              <w:t>1月1日（含）以来具有同类项目的履约经验。</w:t>
            </w:r>
          </w:p>
          <w:p>
            <w:pPr>
              <w:pStyle w:val="null3"/>
              <w:ind w:firstLine="480"/>
              <w:jc w:val="both"/>
            </w:pPr>
            <w:r>
              <w:rPr>
                <w:rFonts w:ascii="仿宋_GB2312" w:hAnsi="仿宋_GB2312" w:cs="仿宋_GB2312" w:eastAsia="仿宋_GB2312"/>
                <w:sz w:val="24"/>
              </w:rPr>
              <w:t>13.2投标人需具备</w:t>
            </w:r>
          </w:p>
          <w:p>
            <w:pPr>
              <w:pStyle w:val="null3"/>
              <w:ind w:firstLine="480"/>
              <w:jc w:val="both"/>
            </w:pPr>
            <w:r>
              <w:rPr>
                <w:rFonts w:ascii="仿宋_GB2312" w:hAnsi="仿宋_GB2312" w:cs="仿宋_GB2312" w:eastAsia="仿宋_GB2312"/>
                <w:sz w:val="21"/>
              </w:rPr>
              <w:t>13.2.1仓储设施：</w:t>
            </w:r>
            <w:r>
              <w:rPr>
                <w:rFonts w:ascii="仿宋_GB2312" w:hAnsi="仿宋_GB2312" w:cs="仿宋_GB2312" w:eastAsia="仿宋_GB2312"/>
                <w:sz w:val="21"/>
                <w:color w:val="000000"/>
              </w:rPr>
              <w:t>租赁</w:t>
            </w:r>
            <w:r>
              <w:rPr>
                <w:rFonts w:ascii="仿宋_GB2312" w:hAnsi="仿宋_GB2312" w:cs="仿宋_GB2312" w:eastAsia="仿宋_GB2312"/>
                <w:sz w:val="21"/>
                <w:color w:val="000000"/>
              </w:rPr>
              <w:t>的（带网络监控视频）</w:t>
            </w:r>
            <w:r>
              <w:rPr>
                <w:rFonts w:ascii="仿宋_GB2312" w:hAnsi="仿宋_GB2312" w:cs="仿宋_GB2312" w:eastAsia="仿宋_GB2312"/>
                <w:sz w:val="21"/>
                <w:color w:val="000000"/>
              </w:rPr>
              <w:t>提供仓储设施图片</w:t>
            </w:r>
            <w:r>
              <w:rPr>
                <w:rFonts w:ascii="仿宋_GB2312" w:hAnsi="仿宋_GB2312" w:cs="仿宋_GB2312" w:eastAsia="仿宋_GB2312"/>
                <w:sz w:val="21"/>
                <w:color w:val="000000"/>
              </w:rPr>
              <w:t>和</w:t>
            </w:r>
            <w:r>
              <w:rPr>
                <w:rFonts w:ascii="仿宋_GB2312" w:hAnsi="仿宋_GB2312" w:cs="仿宋_GB2312" w:eastAsia="仿宋_GB2312"/>
                <w:sz w:val="21"/>
                <w:color w:val="000000"/>
              </w:rPr>
              <w:t>租赁合同</w:t>
            </w:r>
            <w:r>
              <w:rPr>
                <w:rFonts w:ascii="仿宋_GB2312" w:hAnsi="仿宋_GB2312" w:cs="仿宋_GB2312" w:eastAsia="仿宋_GB2312"/>
                <w:sz w:val="21"/>
                <w:color w:val="000000"/>
              </w:rPr>
              <w:t>；</w:t>
            </w:r>
            <w:r>
              <w:rPr>
                <w:rFonts w:ascii="仿宋_GB2312" w:hAnsi="仿宋_GB2312" w:cs="仿宋_GB2312" w:eastAsia="仿宋_GB2312"/>
                <w:sz w:val="21"/>
                <w:color w:val="000000"/>
              </w:rPr>
              <w:t>自有的</w:t>
            </w:r>
            <w:r>
              <w:rPr>
                <w:rFonts w:ascii="仿宋_GB2312" w:hAnsi="仿宋_GB2312" w:cs="仿宋_GB2312" w:eastAsia="仿宋_GB2312"/>
                <w:sz w:val="21"/>
                <w:color w:val="000000"/>
              </w:rPr>
              <w:t>（带网络监控视频）提供</w:t>
            </w:r>
            <w:r>
              <w:rPr>
                <w:rFonts w:ascii="仿宋_GB2312" w:hAnsi="仿宋_GB2312" w:cs="仿宋_GB2312" w:eastAsia="仿宋_GB2312"/>
                <w:sz w:val="21"/>
                <w:color w:val="000000"/>
              </w:rPr>
              <w:t>仓储设施</w:t>
            </w:r>
            <w:r>
              <w:rPr>
                <w:rFonts w:ascii="仿宋_GB2312" w:hAnsi="仿宋_GB2312" w:cs="仿宋_GB2312" w:eastAsia="仿宋_GB2312"/>
                <w:sz w:val="21"/>
                <w:color w:val="000000"/>
              </w:rPr>
              <w:t>图片</w:t>
            </w:r>
            <w:r>
              <w:rPr>
                <w:rFonts w:ascii="仿宋_GB2312" w:hAnsi="仿宋_GB2312" w:cs="仿宋_GB2312" w:eastAsia="仿宋_GB2312"/>
                <w:sz w:val="21"/>
                <w:color w:val="000000"/>
              </w:rPr>
              <w:t>和</w:t>
            </w:r>
            <w:r>
              <w:rPr>
                <w:rFonts w:ascii="仿宋_GB2312" w:hAnsi="仿宋_GB2312" w:cs="仿宋_GB2312" w:eastAsia="仿宋_GB2312"/>
                <w:sz w:val="21"/>
                <w:color w:val="000000"/>
              </w:rPr>
              <w:t>房屋产权证明或买卖合同。</w:t>
            </w:r>
          </w:p>
          <w:p>
            <w:pPr>
              <w:pStyle w:val="null3"/>
              <w:ind w:firstLine="480"/>
              <w:jc w:val="both"/>
            </w:pPr>
            <w:r>
              <w:rPr>
                <w:rFonts w:ascii="仿宋_GB2312" w:hAnsi="仿宋_GB2312" w:cs="仿宋_GB2312" w:eastAsia="仿宋_GB2312"/>
                <w:sz w:val="24"/>
              </w:rPr>
              <w:t>13.2.2</w:t>
            </w:r>
            <w:r>
              <w:rPr>
                <w:rFonts w:ascii="仿宋_GB2312" w:hAnsi="仿宋_GB2312" w:cs="仿宋_GB2312" w:eastAsia="仿宋_GB2312"/>
                <w:sz w:val="21"/>
                <w:color w:val="000000"/>
              </w:rPr>
              <w:t>配送车辆不少于</w:t>
            </w:r>
            <w:r>
              <w:rPr>
                <w:rFonts w:ascii="仿宋_GB2312" w:hAnsi="仿宋_GB2312" w:cs="仿宋_GB2312" w:eastAsia="仿宋_GB2312"/>
                <w:sz w:val="21"/>
                <w:color w:val="000000"/>
              </w:rPr>
              <w:t>3辆，</w:t>
            </w:r>
            <w:r>
              <w:rPr>
                <w:rFonts w:ascii="仿宋_GB2312" w:hAnsi="仿宋_GB2312" w:cs="仿宋_GB2312" w:eastAsia="仿宋_GB2312"/>
                <w:sz w:val="21"/>
                <w:color w:val="000000"/>
              </w:rPr>
              <w:t>自有车辆</w:t>
            </w:r>
            <w:r>
              <w:rPr>
                <w:rFonts w:ascii="仿宋_GB2312" w:hAnsi="仿宋_GB2312" w:cs="仿宋_GB2312" w:eastAsia="仿宋_GB2312"/>
                <w:sz w:val="21"/>
                <w:color w:val="000000"/>
              </w:rPr>
              <w:t>提供车辆行驶证</w:t>
            </w:r>
            <w:r>
              <w:rPr>
                <w:rFonts w:ascii="仿宋_GB2312" w:hAnsi="仿宋_GB2312" w:cs="仿宋_GB2312" w:eastAsia="仿宋_GB2312"/>
                <w:sz w:val="21"/>
                <w:color w:val="000000"/>
              </w:rPr>
              <w:t>和购买发票</w:t>
            </w:r>
            <w:r>
              <w:rPr>
                <w:rFonts w:ascii="仿宋_GB2312" w:hAnsi="仿宋_GB2312" w:cs="仿宋_GB2312" w:eastAsia="仿宋_GB2312"/>
                <w:sz w:val="21"/>
                <w:color w:val="000000"/>
              </w:rPr>
              <w:t>；</w:t>
            </w:r>
            <w:r>
              <w:rPr>
                <w:rFonts w:ascii="仿宋_GB2312" w:hAnsi="仿宋_GB2312" w:cs="仿宋_GB2312" w:eastAsia="仿宋_GB2312"/>
                <w:sz w:val="21"/>
                <w:color w:val="000000"/>
              </w:rPr>
              <w:t>租赁</w:t>
            </w:r>
            <w:r>
              <w:rPr>
                <w:rFonts w:ascii="仿宋_GB2312" w:hAnsi="仿宋_GB2312" w:cs="仿宋_GB2312" w:eastAsia="仿宋_GB2312"/>
                <w:sz w:val="21"/>
                <w:color w:val="000000"/>
              </w:rPr>
              <w:t>车辆提供</w:t>
            </w:r>
            <w:r>
              <w:rPr>
                <w:rFonts w:ascii="仿宋_GB2312" w:hAnsi="仿宋_GB2312" w:cs="仿宋_GB2312" w:eastAsia="仿宋_GB2312"/>
                <w:sz w:val="21"/>
                <w:color w:val="000000"/>
              </w:rPr>
              <w:t>车辆行驶证</w:t>
            </w:r>
            <w:r>
              <w:rPr>
                <w:rFonts w:ascii="仿宋_GB2312" w:hAnsi="仿宋_GB2312" w:cs="仿宋_GB2312" w:eastAsia="仿宋_GB2312"/>
                <w:sz w:val="21"/>
                <w:color w:val="000000"/>
              </w:rPr>
              <w:t>和</w:t>
            </w:r>
            <w:r>
              <w:rPr>
                <w:rFonts w:ascii="仿宋_GB2312" w:hAnsi="仿宋_GB2312" w:cs="仿宋_GB2312" w:eastAsia="仿宋_GB2312"/>
                <w:sz w:val="21"/>
                <w:color w:val="000000"/>
              </w:rPr>
              <w:t>租赁协议</w:t>
            </w:r>
            <w:r>
              <w:rPr>
                <w:rFonts w:ascii="仿宋_GB2312" w:hAnsi="仿宋_GB2312" w:cs="仿宋_GB2312" w:eastAsia="仿宋_GB2312"/>
                <w:sz w:val="21"/>
                <w:color w:val="000000"/>
              </w:rPr>
              <w:t>。</w:t>
            </w:r>
          </w:p>
          <w:p>
            <w:pPr>
              <w:pStyle w:val="null3"/>
              <w:ind w:firstLine="480"/>
              <w:jc w:val="both"/>
            </w:pPr>
            <w:r>
              <w:rPr>
                <w:rFonts w:ascii="仿宋_GB2312" w:hAnsi="仿宋_GB2312" w:cs="仿宋_GB2312" w:eastAsia="仿宋_GB2312"/>
                <w:sz w:val="24"/>
              </w:rPr>
              <w:t>13.2.3需具有</w:t>
            </w:r>
            <w:r>
              <w:rPr>
                <w:rFonts w:ascii="仿宋_GB2312" w:hAnsi="仿宋_GB2312" w:cs="仿宋_GB2312" w:eastAsia="仿宋_GB2312"/>
                <w:sz w:val="24"/>
              </w:rPr>
              <w:t>6</w:t>
            </w:r>
            <w:r>
              <w:rPr>
                <w:rFonts w:ascii="仿宋_GB2312" w:hAnsi="仿宋_GB2312" w:cs="仿宋_GB2312" w:eastAsia="仿宋_GB2312"/>
                <w:sz w:val="24"/>
              </w:rPr>
              <w:t>名及以上健康证工作人员，提供健康证扫描件</w:t>
            </w:r>
            <w:r>
              <w:rPr>
                <w:rFonts w:ascii="仿宋_GB2312" w:hAnsi="仿宋_GB2312" w:cs="仿宋_GB2312" w:eastAsia="仿宋_GB2312"/>
                <w:sz w:val="24"/>
              </w:rPr>
              <w:t>。</w:t>
            </w:r>
          </w:p>
          <w:p>
            <w:pPr>
              <w:pStyle w:val="null3"/>
              <w:ind w:firstLine="482"/>
              <w:jc w:val="center"/>
            </w:pPr>
            <w:r>
              <w:rPr>
                <w:rFonts w:ascii="仿宋_GB2312" w:hAnsi="仿宋_GB2312" w:cs="仿宋_GB2312" w:eastAsia="仿宋_GB2312"/>
                <w:sz w:val="21"/>
                <w:b/>
              </w:rPr>
              <w:t>二、商务要求</w:t>
            </w:r>
          </w:p>
          <w:p>
            <w:pPr>
              <w:pStyle w:val="null3"/>
              <w:ind w:firstLine="482"/>
              <w:jc w:val="both"/>
            </w:pPr>
            <w:r>
              <w:rPr>
                <w:rFonts w:ascii="仿宋_GB2312" w:hAnsi="仿宋_GB2312" w:cs="仿宋_GB2312" w:eastAsia="仿宋_GB2312"/>
                <w:sz w:val="24"/>
                <w:b/>
              </w:rPr>
              <w:t>1.服务期限</w:t>
            </w:r>
          </w:p>
          <w:p>
            <w:pPr>
              <w:pStyle w:val="null3"/>
              <w:ind w:firstLine="480"/>
              <w:jc w:val="both"/>
            </w:pPr>
            <w:r>
              <w:rPr>
                <w:rFonts w:ascii="仿宋_GB2312" w:hAnsi="仿宋_GB2312" w:cs="仿宋_GB2312" w:eastAsia="仿宋_GB2312"/>
                <w:sz w:val="24"/>
              </w:rPr>
              <w:t>自合同签订之日起</w:t>
            </w:r>
            <w:r>
              <w:rPr>
                <w:rFonts w:ascii="仿宋_GB2312" w:hAnsi="仿宋_GB2312" w:cs="仿宋_GB2312" w:eastAsia="仿宋_GB2312"/>
                <w:sz w:val="24"/>
              </w:rPr>
              <w:t>364日。（2025年3月至2026年2月）</w:t>
            </w:r>
          </w:p>
          <w:p>
            <w:pPr>
              <w:pStyle w:val="null3"/>
              <w:numPr>
                <w:ilvl w:val="0"/>
                <w:numId w:val="1"/>
              </w:numPr>
              <w:jc w:val="both"/>
            </w:pPr>
            <w:r>
              <w:rPr>
                <w:rFonts w:ascii="仿宋_GB2312" w:hAnsi="仿宋_GB2312" w:cs="仿宋_GB2312" w:eastAsia="仿宋_GB2312"/>
                <w:sz w:val="24"/>
                <w:b/>
              </w:rPr>
              <w:t>服务地点</w:t>
            </w:r>
          </w:p>
          <w:p>
            <w:pPr>
              <w:pStyle w:val="null3"/>
              <w:ind w:firstLine="480"/>
              <w:jc w:val="both"/>
            </w:pPr>
            <w:r>
              <w:rPr>
                <w:rFonts w:ascii="仿宋_GB2312" w:hAnsi="仿宋_GB2312" w:cs="仿宋_GB2312" w:eastAsia="仿宋_GB2312"/>
                <w:sz w:val="24"/>
              </w:rPr>
              <w:t>广元市利州区区属各项目学校指定库房。</w:t>
            </w:r>
          </w:p>
          <w:p>
            <w:pPr>
              <w:pStyle w:val="null3"/>
              <w:numPr>
                <w:ilvl w:val="0"/>
                <w:numId w:val="1"/>
              </w:numPr>
              <w:jc w:val="both"/>
            </w:pPr>
            <w:r>
              <w:rPr>
                <w:rFonts w:ascii="仿宋_GB2312" w:hAnsi="仿宋_GB2312" w:cs="仿宋_GB2312" w:eastAsia="仿宋_GB2312"/>
                <w:sz w:val="24"/>
                <w:b/>
              </w:rPr>
              <w:t>付款方式</w:t>
            </w:r>
          </w:p>
          <w:p>
            <w:pPr>
              <w:pStyle w:val="null3"/>
              <w:ind w:firstLine="480"/>
              <w:jc w:val="both"/>
            </w:pPr>
            <w:r>
              <w:rPr>
                <w:rFonts w:ascii="仿宋_GB2312" w:hAnsi="仿宋_GB2312" w:cs="仿宋_GB2312" w:eastAsia="仿宋_GB2312"/>
                <w:sz w:val="24"/>
              </w:rPr>
              <w:t>按月据实结算，</w:t>
            </w:r>
            <w:r>
              <w:rPr>
                <w:rFonts w:ascii="仿宋_GB2312" w:hAnsi="仿宋_GB2312" w:cs="仿宋_GB2312" w:eastAsia="仿宋_GB2312"/>
                <w:sz w:val="24"/>
              </w:rPr>
              <w:t>次月各学校根据上月实际验收数量，支付上月应付货款，达到付款条件起</w:t>
            </w:r>
            <w:r>
              <w:rPr>
                <w:rFonts w:ascii="仿宋_GB2312" w:hAnsi="仿宋_GB2312" w:cs="仿宋_GB2312" w:eastAsia="仿宋_GB2312"/>
                <w:sz w:val="24"/>
              </w:rPr>
              <w:t>5</w:t>
            </w:r>
            <w:r>
              <w:rPr>
                <w:rFonts w:ascii="仿宋_GB2312" w:hAnsi="仿宋_GB2312" w:cs="仿宋_GB2312" w:eastAsia="仿宋_GB2312"/>
                <w:sz w:val="24"/>
              </w:rPr>
              <w:t>日内，支付</w:t>
            </w:r>
            <w:r>
              <w:rPr>
                <w:rFonts w:ascii="仿宋_GB2312" w:hAnsi="仿宋_GB2312" w:cs="仿宋_GB2312" w:eastAsia="仿宋_GB2312"/>
                <w:sz w:val="24"/>
              </w:rPr>
              <w:t>当月结算</w:t>
            </w:r>
            <w:r>
              <w:rPr>
                <w:rFonts w:ascii="仿宋_GB2312" w:hAnsi="仿宋_GB2312" w:cs="仿宋_GB2312" w:eastAsia="仿宋_GB2312"/>
                <w:sz w:val="24"/>
              </w:rPr>
              <w:t>金额的</w:t>
            </w:r>
            <w:r>
              <w:rPr>
                <w:rFonts w:ascii="仿宋_GB2312" w:hAnsi="仿宋_GB2312" w:cs="仿宋_GB2312" w:eastAsia="仿宋_GB2312"/>
                <w:sz w:val="24"/>
              </w:rPr>
              <w:t>100%。</w:t>
            </w:r>
          </w:p>
          <w:p>
            <w:pPr>
              <w:pStyle w:val="null3"/>
              <w:ind w:firstLine="482"/>
              <w:jc w:val="both"/>
            </w:pPr>
            <w:r>
              <w:rPr>
                <w:rFonts w:ascii="仿宋_GB2312" w:hAnsi="仿宋_GB2312" w:cs="仿宋_GB2312" w:eastAsia="仿宋_GB2312"/>
                <w:sz w:val="24"/>
                <w:b/>
              </w:rPr>
              <w:t>4.报价要求</w:t>
            </w:r>
          </w:p>
          <w:p>
            <w:pPr>
              <w:pStyle w:val="null3"/>
              <w:ind w:firstLine="480"/>
              <w:jc w:val="both"/>
            </w:pPr>
            <w:r>
              <w:rPr>
                <w:rFonts w:ascii="仿宋_GB2312" w:hAnsi="仿宋_GB2312" w:cs="仿宋_GB2312" w:eastAsia="仿宋_GB2312"/>
                <w:sz w:val="24"/>
              </w:rPr>
              <w:t>4.1下浮率</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4.2投标报价包括供应商完成交付所供食材的全部费用，包括食材成本、人工、 储存、冷藏、装卸运输费、保险费（含人员、车辆、食材、食品安全险等）、专用运输工具费、检验（测）费、应急处置费、食品安全责任费、售后服务费、利润、税费等与本项目相关的一切费用。本合同执行期间合同下浮率或合同固定单价均不变，采购人无须另向中标人支付其他任何费用。结算金额以学校实际消费数量为准。</w:t>
            </w:r>
          </w:p>
          <w:p>
            <w:pPr>
              <w:pStyle w:val="null3"/>
              <w:ind w:firstLine="480"/>
              <w:jc w:val="both"/>
            </w:pPr>
            <w:r>
              <w:rPr>
                <w:rFonts w:ascii="仿宋_GB2312" w:hAnsi="仿宋_GB2312" w:cs="仿宋_GB2312" w:eastAsia="仿宋_GB2312"/>
                <w:sz w:val="24"/>
              </w:rPr>
              <w:t>4.3投标人所报价格应充分考虑供货期内各种费用、市场风险、价格波动、履约义务和付款条件等情况发生。</w:t>
            </w:r>
          </w:p>
          <w:p>
            <w:pPr>
              <w:pStyle w:val="null3"/>
              <w:ind w:firstLine="480"/>
              <w:jc w:val="both"/>
            </w:pPr>
            <w:r>
              <w:rPr>
                <w:rFonts w:ascii="仿宋_GB2312" w:hAnsi="仿宋_GB2312" w:cs="仿宋_GB2312" w:eastAsia="仿宋_GB2312"/>
                <w:sz w:val="24"/>
              </w:rPr>
              <w:t>4.4</w:t>
            </w:r>
            <w:r>
              <w:rPr>
                <w:rFonts w:ascii="仿宋_GB2312" w:hAnsi="仿宋_GB2312" w:cs="仿宋_GB2312" w:eastAsia="仿宋_GB2312"/>
                <w:sz w:val="24"/>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2"/>
              <w:jc w:val="both"/>
            </w:pPr>
            <w:r>
              <w:rPr>
                <w:rFonts w:ascii="仿宋_GB2312" w:hAnsi="仿宋_GB2312" w:cs="仿宋_GB2312" w:eastAsia="仿宋_GB2312"/>
                <w:sz w:val="24"/>
                <w:b/>
              </w:rPr>
              <w:t>5.退出机制和考核标准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5.1</w:t>
            </w:r>
            <w:r>
              <w:rPr>
                <w:rFonts w:ascii="仿宋_GB2312" w:hAnsi="仿宋_GB2312" w:cs="仿宋_GB2312" w:eastAsia="仿宋_GB2312"/>
                <w:sz w:val="24"/>
              </w:rPr>
              <w:t>.建立退出机制。出现下列情形之一的，将终止食材配送资格，采购人有权解除</w:t>
            </w:r>
            <w:r>
              <w:rPr>
                <w:rFonts w:ascii="仿宋_GB2312" w:hAnsi="仿宋_GB2312" w:cs="仿宋_GB2312" w:eastAsia="仿宋_GB2312"/>
                <w:sz w:val="24"/>
              </w:rPr>
              <w:t>食堂大宗物资</w:t>
            </w:r>
            <w:r>
              <w:rPr>
                <w:rFonts w:ascii="仿宋_GB2312" w:hAnsi="仿宋_GB2312" w:cs="仿宋_GB2312" w:eastAsia="仿宋_GB2312"/>
                <w:sz w:val="24"/>
              </w:rPr>
              <w:t>的合同。由此产生的一切经济及法律责任由</w:t>
            </w:r>
            <w:r>
              <w:rPr>
                <w:rFonts w:ascii="仿宋_GB2312" w:hAnsi="仿宋_GB2312" w:cs="仿宋_GB2312" w:eastAsia="仿宋_GB2312"/>
                <w:sz w:val="24"/>
              </w:rPr>
              <w:t>中标人</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①因供应商的原因直接导致发生食品安全事故的；</w:t>
            </w:r>
          </w:p>
          <w:p>
            <w:pPr>
              <w:pStyle w:val="null3"/>
              <w:ind w:firstLine="480"/>
              <w:jc w:val="both"/>
            </w:pPr>
            <w:r>
              <w:rPr>
                <w:rFonts w:ascii="仿宋_GB2312" w:hAnsi="仿宋_GB2312" w:cs="仿宋_GB2312" w:eastAsia="仿宋_GB2312"/>
                <w:sz w:val="24"/>
              </w:rPr>
              <w:t>②违反合同行为，包括降低</w:t>
            </w:r>
            <w:r>
              <w:rPr>
                <w:rFonts w:ascii="仿宋_GB2312" w:hAnsi="仿宋_GB2312" w:cs="仿宋_GB2312" w:eastAsia="仿宋_GB2312"/>
                <w:sz w:val="24"/>
              </w:rPr>
              <w:t>食材</w:t>
            </w:r>
            <w:r>
              <w:rPr>
                <w:rFonts w:ascii="仿宋_GB2312" w:hAnsi="仿宋_GB2312" w:cs="仿宋_GB2312" w:eastAsia="仿宋_GB2312"/>
                <w:sz w:val="24"/>
              </w:rPr>
              <w:t>质量标准、缺失食品卫生安全保障条件的；</w:t>
            </w:r>
          </w:p>
          <w:p>
            <w:pPr>
              <w:pStyle w:val="null3"/>
              <w:ind w:firstLine="480"/>
              <w:jc w:val="both"/>
            </w:pPr>
            <w:r>
              <w:rPr>
                <w:rFonts w:ascii="仿宋_GB2312" w:hAnsi="仿宋_GB2312" w:cs="仿宋_GB2312" w:eastAsia="仿宋_GB2312"/>
                <w:sz w:val="24"/>
              </w:rPr>
              <w:t>③使用腐败变质、油脂酸败、污秽不洁、掺杂使用假冒伪劣食品原料或使用的食品原料农药残留、致病性微生物、重金属以及其他危害人体健康物质成份含量超过国家食品安全标准限量的；</w:t>
            </w:r>
          </w:p>
          <w:p>
            <w:pPr>
              <w:pStyle w:val="null3"/>
              <w:ind w:firstLine="480"/>
              <w:jc w:val="both"/>
            </w:pPr>
            <w:r>
              <w:rPr>
                <w:rFonts w:ascii="仿宋_GB2312" w:hAnsi="仿宋_GB2312" w:cs="仿宋_GB2312" w:eastAsia="仿宋_GB2312"/>
                <w:sz w:val="24"/>
              </w:rPr>
              <w:t>④逃避监督管理部门监管情节严重的，或严重违反食品质量安全法规以及有其他不良行为造成恶劣影响或严重后果的；</w:t>
            </w:r>
          </w:p>
          <w:p>
            <w:pPr>
              <w:pStyle w:val="null3"/>
              <w:ind w:firstLine="480"/>
              <w:jc w:val="both"/>
            </w:pPr>
            <w:r>
              <w:rPr>
                <w:rFonts w:ascii="仿宋_GB2312" w:hAnsi="仿宋_GB2312" w:cs="仿宋_GB2312" w:eastAsia="仿宋_GB2312"/>
                <w:sz w:val="24"/>
              </w:rPr>
              <w:t>⑤每</w:t>
            </w:r>
            <w:r>
              <w:rPr>
                <w:rFonts w:ascii="仿宋_GB2312" w:hAnsi="仿宋_GB2312" w:cs="仿宋_GB2312" w:eastAsia="仿宋_GB2312"/>
                <w:sz w:val="24"/>
              </w:rPr>
              <w:t>季度</w:t>
            </w:r>
            <w:r>
              <w:rPr>
                <w:rFonts w:ascii="仿宋_GB2312" w:hAnsi="仿宋_GB2312" w:cs="仿宋_GB2312" w:eastAsia="仿宋_GB2312"/>
                <w:sz w:val="24"/>
              </w:rPr>
              <w:t>考核结果低于</w:t>
            </w:r>
            <w:r>
              <w:rPr>
                <w:rFonts w:ascii="仿宋_GB2312" w:hAnsi="仿宋_GB2312" w:cs="仿宋_GB2312" w:eastAsia="仿宋_GB2312"/>
                <w:sz w:val="24"/>
              </w:rPr>
              <w:t>70分或者食材新鲜度得分低于15分，或食材质量得分低于</w:t>
            </w:r>
            <w:r>
              <w:rPr>
                <w:rFonts w:ascii="仿宋_GB2312" w:hAnsi="仿宋_GB2312" w:cs="仿宋_GB2312" w:eastAsia="仿宋_GB2312"/>
                <w:sz w:val="24"/>
              </w:rPr>
              <w:t>25</w:t>
            </w:r>
            <w:r>
              <w:rPr>
                <w:rFonts w:ascii="仿宋_GB2312" w:hAnsi="仿宋_GB2312" w:cs="仿宋_GB2312" w:eastAsia="仿宋_GB2312"/>
                <w:sz w:val="24"/>
              </w:rPr>
              <w:t>分时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5.2</w:t>
            </w:r>
            <w:r>
              <w:rPr>
                <w:rFonts w:ascii="仿宋_GB2312" w:hAnsi="仿宋_GB2312" w:cs="仿宋_GB2312" w:eastAsia="仿宋_GB2312"/>
                <w:sz w:val="24"/>
              </w:rPr>
              <w:t>因市场特殊原因，食材不能</w:t>
            </w:r>
            <w:r>
              <w:rPr>
                <w:rFonts w:ascii="仿宋_GB2312" w:hAnsi="仿宋_GB2312" w:cs="仿宋_GB2312" w:eastAsia="仿宋_GB2312"/>
                <w:sz w:val="24"/>
              </w:rPr>
              <w:t>按</w:t>
            </w:r>
            <w:r>
              <w:rPr>
                <w:rFonts w:ascii="仿宋_GB2312" w:hAnsi="仿宋_GB2312" w:cs="仿宋_GB2312" w:eastAsia="仿宋_GB2312"/>
                <w:sz w:val="24"/>
              </w:rPr>
              <w:t>时</w:t>
            </w:r>
            <w:r>
              <w:rPr>
                <w:rFonts w:ascii="仿宋_GB2312" w:hAnsi="仿宋_GB2312" w:cs="仿宋_GB2312" w:eastAsia="仿宋_GB2312"/>
                <w:sz w:val="24"/>
              </w:rPr>
              <w:t>按需</w:t>
            </w:r>
            <w:r>
              <w:rPr>
                <w:rFonts w:ascii="仿宋_GB2312" w:hAnsi="仿宋_GB2312" w:cs="仿宋_GB2312" w:eastAsia="仿宋_GB2312"/>
                <w:sz w:val="24"/>
              </w:rPr>
              <w:t>提供的，</w:t>
            </w:r>
            <w:r>
              <w:rPr>
                <w:rFonts w:ascii="仿宋_GB2312" w:hAnsi="仿宋_GB2312" w:cs="仿宋_GB2312" w:eastAsia="仿宋_GB2312"/>
                <w:sz w:val="24"/>
              </w:rPr>
              <w:t>中标人</w:t>
            </w:r>
            <w:r>
              <w:rPr>
                <w:rFonts w:ascii="仿宋_GB2312" w:hAnsi="仿宋_GB2312" w:cs="仿宋_GB2312" w:eastAsia="仿宋_GB2312"/>
                <w:sz w:val="24"/>
              </w:rPr>
              <w:t>应</w:t>
            </w:r>
            <w:r>
              <w:rPr>
                <w:rFonts w:ascii="仿宋_GB2312" w:hAnsi="仿宋_GB2312" w:cs="仿宋_GB2312" w:eastAsia="仿宋_GB2312"/>
                <w:sz w:val="24"/>
              </w:rPr>
              <w:t>提前</w:t>
            </w:r>
            <w:r>
              <w:rPr>
                <w:rFonts w:ascii="仿宋_GB2312" w:hAnsi="仿宋_GB2312" w:cs="仿宋_GB2312" w:eastAsia="仿宋_GB2312"/>
                <w:sz w:val="24"/>
              </w:rPr>
              <w:t>主动与采购人沟通协调，及时</w:t>
            </w:r>
            <w:r>
              <w:rPr>
                <w:rFonts w:ascii="仿宋_GB2312" w:hAnsi="仿宋_GB2312" w:cs="仿宋_GB2312" w:eastAsia="仿宋_GB2312"/>
                <w:sz w:val="24"/>
              </w:rPr>
              <w:t>采取应对措施</w:t>
            </w:r>
            <w:r>
              <w:rPr>
                <w:rFonts w:ascii="仿宋_GB2312" w:hAnsi="仿宋_GB2312" w:cs="仿宋_GB2312" w:eastAsia="仿宋_GB2312"/>
                <w:sz w:val="24"/>
              </w:rPr>
              <w:t>，满足采购人需要。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5.3</w:t>
            </w:r>
            <w:r>
              <w:rPr>
                <w:rFonts w:ascii="仿宋_GB2312" w:hAnsi="仿宋_GB2312" w:cs="仿宋_GB2312" w:eastAsia="仿宋_GB2312"/>
                <w:sz w:val="24"/>
              </w:rPr>
              <w:t>供应商需承诺在运输及装卸过程中发生的一切安全事故，包括人员、车辆事故等情况，由供应商自己负责，并依法承担所有责任。</w:t>
            </w:r>
            <w:r>
              <w:rPr>
                <w:rFonts w:ascii="仿宋_GB2312" w:hAnsi="仿宋_GB2312" w:cs="仿宋_GB2312" w:eastAsia="仿宋_GB2312"/>
                <w:sz w:val="24"/>
              </w:rPr>
              <w:t>（</w:t>
            </w:r>
            <w:r>
              <w:rPr>
                <w:rFonts w:ascii="仿宋_GB2312" w:hAnsi="仿宋_GB2312" w:cs="仿宋_GB2312" w:eastAsia="仿宋_GB2312"/>
                <w:sz w:val="24"/>
              </w:rPr>
              <w:t>须单独提供承诺函原件的扫描件并加盖投标供应商的电子签章。承诺函格式自拟，但需体现项目名称、项目编号、供应商名称、所承诺事项内容等信息。）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5.4</w:t>
            </w:r>
            <w:r>
              <w:rPr>
                <w:rFonts w:ascii="仿宋_GB2312" w:hAnsi="仿宋_GB2312" w:cs="仿宋_GB2312" w:eastAsia="仿宋_GB2312"/>
                <w:sz w:val="24"/>
              </w:rPr>
              <w:t>考核标准</w:t>
            </w:r>
            <w:r>
              <w:rPr>
                <w:rFonts w:ascii="仿宋_GB2312" w:hAnsi="仿宋_GB2312" w:cs="仿宋_GB2312" w:eastAsia="仿宋_GB2312"/>
                <w:sz w:val="24"/>
              </w:rPr>
              <w:t>(</w:t>
            </w:r>
            <w:r>
              <w:rPr>
                <w:rFonts w:ascii="仿宋_GB2312" w:hAnsi="仿宋_GB2312" w:cs="仿宋_GB2312" w:eastAsia="仿宋_GB2312"/>
                <w:sz w:val="24"/>
              </w:rPr>
              <w:t>每季度考核一次，随机抽取</w:t>
            </w:r>
            <w:r>
              <w:rPr>
                <w:rFonts w:ascii="仿宋_GB2312" w:hAnsi="仿宋_GB2312" w:cs="仿宋_GB2312" w:eastAsia="仿宋_GB2312"/>
                <w:sz w:val="24"/>
              </w:rPr>
              <w:t>15所学校为考核标准</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844"/>
              <w:gridCol w:w="1494"/>
              <w:gridCol w:w="572"/>
              <w:gridCol w:w="1494"/>
              <w:gridCol w:w="1173"/>
            </w:tblGrid>
            <w:tr>
              <w:tc>
                <w:tcPr>
                  <w:tcW w:type="dxa" w:w="8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考核内容</w:t>
                  </w:r>
                </w:p>
              </w:tc>
              <w:tc>
                <w:tcPr>
                  <w:tcW w:type="dxa" w:w="1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w:t>
                  </w:r>
                  <w:r>
                    <w:rPr>
                      <w:rFonts w:ascii="仿宋_GB2312" w:hAnsi="仿宋_GB2312" w:cs="仿宋_GB2312" w:eastAsia="仿宋_GB2312"/>
                      <w:sz w:val="21"/>
                      <w:b/>
                    </w:rPr>
                    <w:t>指标</w:t>
                  </w:r>
                </w:p>
              </w:tc>
              <w:tc>
                <w:tcPr>
                  <w:tcW w:type="dxa" w:w="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分值</w:t>
                  </w:r>
                </w:p>
              </w:tc>
              <w:tc>
                <w:tcPr>
                  <w:tcW w:type="dxa" w:w="1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实际</w:t>
                  </w:r>
                  <w:r>
                    <w:rPr>
                      <w:rFonts w:ascii="仿宋_GB2312" w:hAnsi="仿宋_GB2312" w:cs="仿宋_GB2312" w:eastAsia="仿宋_GB2312"/>
                      <w:sz w:val="21"/>
                      <w:b/>
                    </w:rPr>
                    <w:t>分值</w:t>
                  </w:r>
                  <w:r>
                    <w:rPr>
                      <w:rFonts w:ascii="仿宋_GB2312" w:hAnsi="仿宋_GB2312" w:cs="仿宋_GB2312" w:eastAsia="仿宋_GB2312"/>
                      <w:sz w:val="19"/>
                      <w:b/>
                    </w:rPr>
                    <w:t xml:space="preserve">  </w:t>
                  </w:r>
                </w:p>
                <w:p>
                  <w:pPr>
                    <w:pStyle w:val="null3"/>
                    <w:jc w:val="center"/>
                  </w:pPr>
                  <w:r>
                    <w:rPr>
                      <w:rFonts w:ascii="仿宋_GB2312" w:hAnsi="仿宋_GB2312" w:cs="仿宋_GB2312" w:eastAsia="仿宋_GB2312"/>
                      <w:sz w:val="18"/>
                      <w:b/>
                    </w:rPr>
                    <w:t>（根据考核指标实际计算）</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等级</w:t>
                  </w:r>
                </w:p>
                <w:p>
                  <w:pPr>
                    <w:pStyle w:val="null3"/>
                    <w:jc w:val="center"/>
                  </w:pPr>
                  <w:r>
                    <w:rPr>
                      <w:rFonts w:ascii="仿宋_GB2312" w:hAnsi="仿宋_GB2312" w:cs="仿宋_GB2312" w:eastAsia="仿宋_GB2312"/>
                      <w:sz w:val="21"/>
                      <w:b/>
                    </w:rPr>
                    <w:t>（</w:t>
                  </w:r>
                  <w:r>
                    <w:rPr>
                      <w:rFonts w:ascii="仿宋_GB2312" w:hAnsi="仿宋_GB2312" w:cs="仿宋_GB2312" w:eastAsia="仿宋_GB2312"/>
                      <w:sz w:val="18"/>
                      <w:b/>
                    </w:rPr>
                    <w:t>参考区间</w:t>
                  </w:r>
                  <w:r>
                    <w:rPr>
                      <w:rFonts w:ascii="仿宋_GB2312" w:hAnsi="仿宋_GB2312" w:cs="仿宋_GB2312" w:eastAsia="仿宋_GB2312"/>
                      <w:sz w:val="21"/>
                      <w:b/>
                    </w:rPr>
                    <w:t>）</w:t>
                  </w:r>
                </w:p>
              </w:tc>
            </w:tr>
            <w:tr>
              <w:tc>
                <w:tcPr>
                  <w:tcW w:type="dxa" w:w="8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配送及时性</w:t>
                  </w:r>
                </w:p>
              </w:tc>
              <w:tc>
                <w:tcPr>
                  <w:tcW w:type="dxa" w:w="14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（配送总次数</w:t>
                  </w:r>
                  <w:r>
                    <w:rPr>
                      <w:rFonts w:ascii="仿宋_GB2312" w:hAnsi="仿宋_GB2312" w:cs="仿宋_GB2312" w:eastAsia="仿宋_GB2312"/>
                      <w:sz w:val="21"/>
                    </w:rPr>
                    <w:t>-超过采购人约定时间配送次数）/配送总次数×100%</w:t>
                  </w:r>
                </w:p>
              </w:tc>
              <w:tc>
                <w:tcPr>
                  <w:tcW w:type="dxa" w:w="5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30</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A≥9</w:t>
                  </w:r>
                  <w:r>
                    <w:rPr>
                      <w:rFonts w:ascii="仿宋_GB2312" w:hAnsi="仿宋_GB2312" w:cs="仿宋_GB2312" w:eastAsia="仿宋_GB2312"/>
                      <w:sz w:val="21"/>
                    </w:rPr>
                    <w:t>5</w:t>
                  </w:r>
                  <w:r>
                    <w:rPr>
                      <w:rFonts w:ascii="仿宋_GB2312" w:hAnsi="仿宋_GB2312" w:cs="仿宋_GB2312" w:eastAsia="仿宋_GB2312"/>
                      <w:sz w:val="21"/>
                    </w:rPr>
                    <w:t>%</w:t>
                  </w:r>
                </w:p>
              </w:tc>
            </w:tr>
            <w:tr>
              <w:tc>
                <w:tcPr>
                  <w:tcW w:type="dxa" w:w="844"/>
                  <w:vMerge/>
                  <w:tcBorders>
                    <w:top w:val="none" w:color="000000" w:sz="4"/>
                    <w:left w:val="single" w:color="000000" w:sz="4"/>
                    <w:bottom w:val="single" w:color="000000" w:sz="4"/>
                    <w:right w:val="single" w:color="000000" w:sz="4"/>
                  </w:tcBorders>
                </w:tcPr>
                <w:p/>
              </w:tc>
              <w:tc>
                <w:tcPr>
                  <w:tcW w:type="dxa" w:w="1494"/>
                  <w:vMerge/>
                  <w:tcBorders>
                    <w:top w:val="none" w:color="000000" w:sz="4"/>
                    <w:left w:val="none" w:color="000000" w:sz="4"/>
                    <w:bottom w:val="single" w:color="000000" w:sz="4"/>
                    <w:right w:val="single" w:color="000000" w:sz="4"/>
                  </w:tcBorders>
                </w:tcPr>
                <w:p/>
              </w:tc>
              <w:tc>
                <w:tcPr>
                  <w:tcW w:type="dxa" w:w="572"/>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r>
                    <w:rPr>
                      <w:rFonts w:ascii="仿宋_GB2312" w:hAnsi="仿宋_GB2312" w:cs="仿宋_GB2312" w:eastAsia="仿宋_GB2312"/>
                      <w:sz w:val="21"/>
                    </w:rPr>
                    <w:t>5</w:t>
                  </w:r>
                  <w:r>
                    <w:rPr>
                      <w:rFonts w:ascii="仿宋_GB2312" w:hAnsi="仿宋_GB2312" w:cs="仿宋_GB2312" w:eastAsia="仿宋_GB2312"/>
                      <w:sz w:val="21"/>
                    </w:rPr>
                    <w:t>%≤A＜9</w:t>
                  </w:r>
                  <w:r>
                    <w:rPr>
                      <w:rFonts w:ascii="仿宋_GB2312" w:hAnsi="仿宋_GB2312" w:cs="仿宋_GB2312" w:eastAsia="仿宋_GB2312"/>
                      <w:sz w:val="21"/>
                    </w:rPr>
                    <w:t>5</w:t>
                  </w:r>
                  <w:r>
                    <w:rPr>
                      <w:rFonts w:ascii="仿宋_GB2312" w:hAnsi="仿宋_GB2312" w:cs="仿宋_GB2312" w:eastAsia="仿宋_GB2312"/>
                      <w:sz w:val="21"/>
                    </w:rPr>
                    <w:t>%</w:t>
                  </w:r>
                </w:p>
              </w:tc>
            </w:tr>
            <w:tr>
              <w:tc>
                <w:tcPr>
                  <w:tcW w:type="dxa" w:w="844"/>
                  <w:vMerge/>
                  <w:tcBorders>
                    <w:top w:val="none" w:color="000000" w:sz="4"/>
                    <w:left w:val="single" w:color="000000" w:sz="4"/>
                    <w:bottom w:val="single" w:color="000000" w:sz="4"/>
                    <w:right w:val="single" w:color="000000" w:sz="4"/>
                  </w:tcBorders>
                </w:tcPr>
                <w:p/>
              </w:tc>
              <w:tc>
                <w:tcPr>
                  <w:tcW w:type="dxa" w:w="1494"/>
                  <w:vMerge/>
                  <w:tcBorders>
                    <w:top w:val="none" w:color="000000" w:sz="4"/>
                    <w:left w:val="none" w:color="000000" w:sz="4"/>
                    <w:bottom w:val="single" w:color="000000" w:sz="4"/>
                    <w:right w:val="single" w:color="000000" w:sz="4"/>
                  </w:tcBorders>
                </w:tcPr>
                <w:p/>
              </w:tc>
              <w:tc>
                <w:tcPr>
                  <w:tcW w:type="dxa" w:w="572"/>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r>
                    <w:rPr>
                      <w:rFonts w:ascii="仿宋_GB2312" w:hAnsi="仿宋_GB2312" w:cs="仿宋_GB2312" w:eastAsia="仿宋_GB2312"/>
                      <w:sz w:val="21"/>
                    </w:rPr>
                    <w:t>5</w:t>
                  </w:r>
                  <w:r>
                    <w:rPr>
                      <w:rFonts w:ascii="仿宋_GB2312" w:hAnsi="仿宋_GB2312" w:cs="仿宋_GB2312" w:eastAsia="仿宋_GB2312"/>
                      <w:sz w:val="21"/>
                    </w:rPr>
                    <w:t>%≤A＜8</w:t>
                  </w:r>
                  <w:r>
                    <w:rPr>
                      <w:rFonts w:ascii="仿宋_GB2312" w:hAnsi="仿宋_GB2312" w:cs="仿宋_GB2312" w:eastAsia="仿宋_GB2312"/>
                      <w:sz w:val="21"/>
                    </w:rPr>
                    <w:t>5</w:t>
                  </w:r>
                  <w:r>
                    <w:rPr>
                      <w:rFonts w:ascii="仿宋_GB2312" w:hAnsi="仿宋_GB2312" w:cs="仿宋_GB2312" w:eastAsia="仿宋_GB2312"/>
                      <w:sz w:val="21"/>
                    </w:rPr>
                    <w:t>%</w:t>
                  </w:r>
                </w:p>
              </w:tc>
            </w:tr>
            <w:tr>
              <w:tc>
                <w:tcPr>
                  <w:tcW w:type="dxa" w:w="844"/>
                  <w:vMerge/>
                  <w:tcBorders>
                    <w:top w:val="none" w:color="000000" w:sz="4"/>
                    <w:left w:val="single" w:color="000000" w:sz="4"/>
                    <w:bottom w:val="single" w:color="000000" w:sz="4"/>
                    <w:right w:val="single" w:color="000000" w:sz="4"/>
                  </w:tcBorders>
                </w:tcPr>
                <w:p/>
              </w:tc>
              <w:tc>
                <w:tcPr>
                  <w:tcW w:type="dxa" w:w="1494"/>
                  <w:vMerge/>
                  <w:tcBorders>
                    <w:top w:val="none" w:color="000000" w:sz="4"/>
                    <w:left w:val="none" w:color="000000" w:sz="4"/>
                    <w:bottom w:val="single" w:color="000000" w:sz="4"/>
                    <w:right w:val="single" w:color="000000" w:sz="4"/>
                  </w:tcBorders>
                </w:tcPr>
                <w:p/>
              </w:tc>
              <w:tc>
                <w:tcPr>
                  <w:tcW w:type="dxa" w:w="572"/>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A＜5</w:t>
                  </w:r>
                  <w:r>
                    <w:rPr>
                      <w:rFonts w:ascii="仿宋_GB2312" w:hAnsi="仿宋_GB2312" w:cs="仿宋_GB2312" w:eastAsia="仿宋_GB2312"/>
                      <w:sz w:val="21"/>
                    </w:rPr>
                    <w:t>5</w:t>
                  </w:r>
                  <w:r>
                    <w:rPr>
                      <w:rFonts w:ascii="仿宋_GB2312" w:hAnsi="仿宋_GB2312" w:cs="仿宋_GB2312" w:eastAsia="仿宋_GB2312"/>
                      <w:sz w:val="21"/>
                    </w:rPr>
                    <w:t>%</w:t>
                  </w:r>
                </w:p>
              </w:tc>
            </w:tr>
            <w:tr>
              <w:tc>
                <w:tcPr>
                  <w:tcW w:type="dxa" w:w="8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食材新鲜度</w:t>
                  </w:r>
                </w:p>
              </w:tc>
              <w:tc>
                <w:tcPr>
                  <w:tcW w:type="dxa" w:w="14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（单次采购总数量</w:t>
                  </w:r>
                  <w:r>
                    <w:rPr>
                      <w:rFonts w:ascii="仿宋_GB2312" w:hAnsi="仿宋_GB2312" w:cs="仿宋_GB2312" w:eastAsia="仿宋_GB2312"/>
                      <w:sz w:val="21"/>
                    </w:rPr>
                    <w:t>-单次不新鲜食材数量）/单次采购总数量×100%</w:t>
                  </w:r>
                </w:p>
              </w:tc>
              <w:tc>
                <w:tcPr>
                  <w:tcW w:type="dxa" w:w="5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B≥95%</w:t>
                  </w:r>
                </w:p>
              </w:tc>
            </w:tr>
            <w:tr>
              <w:tc>
                <w:tcPr>
                  <w:tcW w:type="dxa" w:w="844"/>
                  <w:vMerge/>
                  <w:tcBorders>
                    <w:top w:val="none" w:color="000000" w:sz="4"/>
                    <w:left w:val="single" w:color="000000" w:sz="4"/>
                    <w:bottom w:val="single" w:color="000000" w:sz="4"/>
                    <w:right w:val="single" w:color="000000" w:sz="4"/>
                  </w:tcBorders>
                </w:tcPr>
                <w:p/>
              </w:tc>
              <w:tc>
                <w:tcPr>
                  <w:tcW w:type="dxa" w:w="1494"/>
                  <w:vMerge/>
                  <w:tcBorders>
                    <w:top w:val="none" w:color="000000" w:sz="4"/>
                    <w:left w:val="none" w:color="000000" w:sz="4"/>
                    <w:bottom w:val="single" w:color="000000" w:sz="4"/>
                    <w:right w:val="single" w:color="000000" w:sz="4"/>
                  </w:tcBorders>
                </w:tcPr>
                <w:p/>
              </w:tc>
              <w:tc>
                <w:tcPr>
                  <w:tcW w:type="dxa" w:w="572"/>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80%≤B＜95%</w:t>
                  </w:r>
                </w:p>
              </w:tc>
            </w:tr>
            <w:tr>
              <w:tc>
                <w:tcPr>
                  <w:tcW w:type="dxa" w:w="844"/>
                  <w:vMerge/>
                  <w:tcBorders>
                    <w:top w:val="none" w:color="000000" w:sz="4"/>
                    <w:left w:val="single" w:color="000000" w:sz="4"/>
                    <w:bottom w:val="single" w:color="000000" w:sz="4"/>
                    <w:right w:val="single" w:color="000000" w:sz="4"/>
                  </w:tcBorders>
                </w:tcPr>
                <w:p/>
              </w:tc>
              <w:tc>
                <w:tcPr>
                  <w:tcW w:type="dxa" w:w="1494"/>
                  <w:vMerge/>
                  <w:tcBorders>
                    <w:top w:val="none" w:color="000000" w:sz="4"/>
                    <w:left w:val="none" w:color="000000" w:sz="4"/>
                    <w:bottom w:val="single" w:color="000000" w:sz="4"/>
                    <w:right w:val="single" w:color="000000" w:sz="4"/>
                  </w:tcBorders>
                </w:tcPr>
                <w:p/>
              </w:tc>
              <w:tc>
                <w:tcPr>
                  <w:tcW w:type="dxa" w:w="572"/>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50%≤B＜80%</w:t>
                  </w:r>
                </w:p>
              </w:tc>
            </w:tr>
            <w:tr>
              <w:tc>
                <w:tcPr>
                  <w:tcW w:type="dxa" w:w="844"/>
                  <w:vMerge/>
                  <w:tcBorders>
                    <w:top w:val="none" w:color="000000" w:sz="4"/>
                    <w:left w:val="single" w:color="000000" w:sz="4"/>
                    <w:bottom w:val="single" w:color="000000" w:sz="4"/>
                    <w:right w:val="single" w:color="000000" w:sz="4"/>
                  </w:tcBorders>
                </w:tcPr>
                <w:p/>
              </w:tc>
              <w:tc>
                <w:tcPr>
                  <w:tcW w:type="dxa" w:w="1494"/>
                  <w:vMerge/>
                  <w:tcBorders>
                    <w:top w:val="none" w:color="000000" w:sz="4"/>
                    <w:left w:val="none" w:color="000000" w:sz="4"/>
                    <w:bottom w:val="single" w:color="000000" w:sz="4"/>
                    <w:right w:val="single" w:color="000000" w:sz="4"/>
                  </w:tcBorders>
                </w:tcPr>
                <w:p/>
              </w:tc>
              <w:tc>
                <w:tcPr>
                  <w:tcW w:type="dxa" w:w="572"/>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B＜50%</w:t>
                  </w:r>
                </w:p>
              </w:tc>
            </w:tr>
            <w:tr>
              <w:tc>
                <w:tcPr>
                  <w:tcW w:type="dxa" w:w="8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食材质量</w:t>
                  </w:r>
                </w:p>
              </w:tc>
              <w:tc>
                <w:tcPr>
                  <w:tcW w:type="dxa" w:w="14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（单次购买食材总数</w:t>
                  </w:r>
                  <w:r>
                    <w:rPr>
                      <w:rFonts w:ascii="仿宋_GB2312" w:hAnsi="仿宋_GB2312" w:cs="仿宋_GB2312" w:eastAsia="仿宋_GB2312"/>
                      <w:sz w:val="21"/>
                    </w:rPr>
                    <w:t>-单次不合格食材质量）/单次购买食材总数×100%</w:t>
                  </w:r>
                </w:p>
              </w:tc>
              <w:tc>
                <w:tcPr>
                  <w:tcW w:type="dxa" w:w="5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C=100%</w:t>
                  </w:r>
                </w:p>
              </w:tc>
            </w:tr>
            <w:tr>
              <w:tc>
                <w:tcPr>
                  <w:tcW w:type="dxa" w:w="844"/>
                  <w:vMerge/>
                  <w:tcBorders>
                    <w:top w:val="none" w:color="000000" w:sz="4"/>
                    <w:left w:val="single" w:color="000000" w:sz="4"/>
                    <w:bottom w:val="single" w:color="000000" w:sz="4"/>
                    <w:right w:val="single" w:color="000000" w:sz="4"/>
                  </w:tcBorders>
                </w:tcPr>
                <w:p/>
              </w:tc>
              <w:tc>
                <w:tcPr>
                  <w:tcW w:type="dxa" w:w="1494"/>
                  <w:vMerge/>
                  <w:tcBorders>
                    <w:top w:val="none" w:color="000000" w:sz="4"/>
                    <w:left w:val="none" w:color="000000" w:sz="4"/>
                    <w:bottom w:val="single" w:color="000000" w:sz="4"/>
                    <w:right w:val="single" w:color="000000" w:sz="4"/>
                  </w:tcBorders>
                </w:tcPr>
                <w:p/>
              </w:tc>
              <w:tc>
                <w:tcPr>
                  <w:tcW w:type="dxa" w:w="572"/>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r>
                    <w:rPr>
                      <w:rFonts w:ascii="仿宋_GB2312" w:hAnsi="仿宋_GB2312" w:cs="仿宋_GB2312" w:eastAsia="仿宋_GB2312"/>
                      <w:sz w:val="21"/>
                    </w:rPr>
                    <w:t>%≤C＜100%</w:t>
                  </w:r>
                </w:p>
              </w:tc>
            </w:tr>
            <w:tr>
              <w:tc>
                <w:tcPr>
                  <w:tcW w:type="dxa" w:w="844"/>
                  <w:vMerge/>
                  <w:tcBorders>
                    <w:top w:val="none" w:color="000000" w:sz="4"/>
                    <w:left w:val="single" w:color="000000" w:sz="4"/>
                    <w:bottom w:val="single" w:color="000000" w:sz="4"/>
                    <w:right w:val="single" w:color="000000" w:sz="4"/>
                  </w:tcBorders>
                </w:tcPr>
                <w:p/>
              </w:tc>
              <w:tc>
                <w:tcPr>
                  <w:tcW w:type="dxa" w:w="1494"/>
                  <w:vMerge/>
                  <w:tcBorders>
                    <w:top w:val="none" w:color="000000" w:sz="4"/>
                    <w:left w:val="none" w:color="000000" w:sz="4"/>
                    <w:bottom w:val="single" w:color="000000" w:sz="4"/>
                    <w:right w:val="single" w:color="000000" w:sz="4"/>
                  </w:tcBorders>
                </w:tcPr>
                <w:p/>
              </w:tc>
              <w:tc>
                <w:tcPr>
                  <w:tcW w:type="dxa" w:w="572"/>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80%≤C＜</w:t>
                  </w:r>
                  <w:r>
                    <w:rPr>
                      <w:rFonts w:ascii="仿宋_GB2312" w:hAnsi="仿宋_GB2312" w:cs="仿宋_GB2312" w:eastAsia="仿宋_GB2312"/>
                      <w:sz w:val="21"/>
                    </w:rPr>
                    <w:t>90</w:t>
                  </w:r>
                  <w:r>
                    <w:rPr>
                      <w:rFonts w:ascii="仿宋_GB2312" w:hAnsi="仿宋_GB2312" w:cs="仿宋_GB2312" w:eastAsia="仿宋_GB2312"/>
                      <w:sz w:val="21"/>
                    </w:rPr>
                    <w:t>%</w:t>
                  </w:r>
                </w:p>
              </w:tc>
            </w:tr>
            <w:tr>
              <w:tc>
                <w:tcPr>
                  <w:tcW w:type="dxa" w:w="844"/>
                  <w:vMerge/>
                  <w:tcBorders>
                    <w:top w:val="none" w:color="000000" w:sz="4"/>
                    <w:left w:val="single" w:color="000000" w:sz="4"/>
                    <w:bottom w:val="single" w:color="000000" w:sz="4"/>
                    <w:right w:val="single" w:color="000000" w:sz="4"/>
                  </w:tcBorders>
                </w:tcPr>
                <w:p/>
              </w:tc>
              <w:tc>
                <w:tcPr>
                  <w:tcW w:type="dxa" w:w="1494"/>
                  <w:vMerge/>
                  <w:tcBorders>
                    <w:top w:val="none" w:color="000000" w:sz="4"/>
                    <w:left w:val="none" w:color="000000" w:sz="4"/>
                    <w:bottom w:val="single" w:color="000000" w:sz="4"/>
                    <w:right w:val="single" w:color="000000" w:sz="4"/>
                  </w:tcBorders>
                </w:tcPr>
                <w:p/>
              </w:tc>
              <w:tc>
                <w:tcPr>
                  <w:tcW w:type="dxa" w:w="572"/>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50%≤C＜80%</w:t>
                  </w:r>
                </w:p>
              </w:tc>
            </w:tr>
            <w:tr>
              <w:tc>
                <w:tcPr>
                  <w:tcW w:type="dxa" w:w="844"/>
                  <w:vMerge/>
                  <w:tcBorders>
                    <w:top w:val="none" w:color="000000" w:sz="4"/>
                    <w:left w:val="single" w:color="000000" w:sz="4"/>
                    <w:bottom w:val="single" w:color="000000" w:sz="4"/>
                    <w:right w:val="single" w:color="000000" w:sz="4"/>
                  </w:tcBorders>
                </w:tcPr>
                <w:p/>
              </w:tc>
              <w:tc>
                <w:tcPr>
                  <w:tcW w:type="dxa" w:w="1494"/>
                  <w:vMerge/>
                  <w:tcBorders>
                    <w:top w:val="none" w:color="000000" w:sz="4"/>
                    <w:left w:val="none" w:color="000000" w:sz="4"/>
                    <w:bottom w:val="single" w:color="000000" w:sz="4"/>
                    <w:right w:val="single" w:color="000000" w:sz="4"/>
                  </w:tcBorders>
                </w:tcPr>
                <w:p/>
              </w:tc>
              <w:tc>
                <w:tcPr>
                  <w:tcW w:type="dxa" w:w="572"/>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C＜50%</w:t>
                  </w:r>
                </w:p>
              </w:tc>
            </w:tr>
          </w:tbl>
          <w:p>
            <w:pPr>
              <w:pStyle w:val="null3"/>
              <w:ind w:firstLine="480"/>
              <w:jc w:val="both"/>
            </w:pPr>
            <w:r>
              <w:rPr>
                <w:rFonts w:ascii="仿宋_GB2312" w:hAnsi="仿宋_GB2312" w:cs="仿宋_GB2312" w:eastAsia="仿宋_GB2312"/>
                <w:sz w:val="24"/>
              </w:rPr>
              <w:t>考核结果：考核满分为平均</w:t>
            </w:r>
            <w:r>
              <w:rPr>
                <w:rFonts w:ascii="仿宋_GB2312" w:hAnsi="仿宋_GB2312" w:cs="仿宋_GB2312" w:eastAsia="仿宋_GB2312"/>
                <w:sz w:val="24"/>
              </w:rPr>
              <w:t>100分，考核分数=配送及时性+食材新鲜度+食材质量。当季度考核得分</w:t>
            </w:r>
            <w:r>
              <w:rPr>
                <w:rFonts w:ascii="仿宋_GB2312" w:hAnsi="仿宋_GB2312" w:cs="仿宋_GB2312" w:eastAsia="仿宋_GB2312"/>
                <w:sz w:val="24"/>
              </w:rPr>
              <w:t>低于以下三种情形时，</w:t>
            </w:r>
            <w:r>
              <w:rPr>
                <w:rFonts w:ascii="仿宋_GB2312" w:hAnsi="仿宋_GB2312" w:cs="仿宋_GB2312" w:eastAsia="仿宋_GB2312"/>
                <w:sz w:val="24"/>
              </w:rPr>
              <w:t>每低</w:t>
            </w:r>
            <w:r>
              <w:rPr>
                <w:rFonts w:ascii="仿宋_GB2312" w:hAnsi="仿宋_GB2312" w:cs="仿宋_GB2312" w:eastAsia="仿宋_GB2312"/>
                <w:sz w:val="24"/>
              </w:rPr>
              <w:t>1分</w:t>
            </w:r>
            <w:r>
              <w:rPr>
                <w:rFonts w:ascii="仿宋_GB2312" w:hAnsi="仿宋_GB2312" w:cs="仿宋_GB2312" w:eastAsia="仿宋_GB2312"/>
                <w:sz w:val="24"/>
              </w:rPr>
              <w:t>（</w:t>
            </w:r>
            <w:r>
              <w:rPr>
                <w:rFonts w:ascii="仿宋_GB2312" w:hAnsi="仿宋_GB2312" w:cs="仿宋_GB2312" w:eastAsia="仿宋_GB2312"/>
                <w:sz w:val="24"/>
              </w:rPr>
              <w:t>以最多扣除项计算，不累加</w:t>
            </w:r>
            <w:r>
              <w:rPr>
                <w:rFonts w:ascii="仿宋_GB2312" w:hAnsi="仿宋_GB2312" w:cs="仿宋_GB2312" w:eastAsia="仿宋_GB2312"/>
                <w:sz w:val="24"/>
              </w:rPr>
              <w:t>）</w:t>
            </w:r>
            <w:r>
              <w:rPr>
                <w:rFonts w:ascii="仿宋_GB2312" w:hAnsi="仿宋_GB2312" w:cs="仿宋_GB2312" w:eastAsia="仿宋_GB2312"/>
                <w:sz w:val="24"/>
              </w:rPr>
              <w:t>扣除当季</w:t>
            </w:r>
            <w:r>
              <w:rPr>
                <w:rFonts w:ascii="仿宋_GB2312" w:hAnsi="仿宋_GB2312" w:cs="仿宋_GB2312" w:eastAsia="仿宋_GB2312"/>
                <w:sz w:val="24"/>
              </w:rPr>
              <w:t>1%的食材采购费用</w:t>
            </w:r>
            <w:r>
              <w:rPr>
                <w:rFonts w:ascii="仿宋_GB2312" w:hAnsi="仿宋_GB2312" w:cs="仿宋_GB2312" w:eastAsia="仿宋_GB2312"/>
                <w:sz w:val="24"/>
              </w:rPr>
              <w:t>：</w:t>
            </w:r>
            <w:r>
              <w:rPr>
                <w:rFonts w:ascii="仿宋_GB2312" w:hAnsi="仿宋_GB2312" w:cs="仿宋_GB2312" w:eastAsia="仿宋_GB2312"/>
                <w:sz w:val="24"/>
              </w:rPr>
              <w:t>①季度考核得分</w:t>
            </w:r>
            <w:r>
              <w:rPr>
                <w:rFonts w:ascii="仿宋_GB2312" w:hAnsi="仿宋_GB2312" w:cs="仿宋_GB2312" w:eastAsia="仿宋_GB2312"/>
                <w:sz w:val="24"/>
              </w:rPr>
              <w:t>低于</w:t>
            </w:r>
            <w:r>
              <w:rPr>
                <w:rFonts w:ascii="仿宋_GB2312" w:hAnsi="仿宋_GB2312" w:cs="仿宋_GB2312" w:eastAsia="仿宋_GB2312"/>
                <w:sz w:val="24"/>
              </w:rPr>
              <w:t>80</w:t>
            </w:r>
            <w:r>
              <w:rPr>
                <w:rFonts w:ascii="仿宋_GB2312" w:hAnsi="仿宋_GB2312" w:cs="仿宋_GB2312" w:eastAsia="仿宋_GB2312"/>
                <w:sz w:val="24"/>
              </w:rPr>
              <w:t>分时</w:t>
            </w:r>
            <w:r>
              <w:rPr>
                <w:rFonts w:ascii="仿宋_GB2312" w:hAnsi="仿宋_GB2312" w:cs="仿宋_GB2312" w:eastAsia="仿宋_GB2312"/>
                <w:sz w:val="24"/>
              </w:rPr>
              <w:t>；</w:t>
            </w:r>
            <w:r>
              <w:rPr>
                <w:rFonts w:ascii="仿宋_GB2312" w:hAnsi="仿宋_GB2312" w:cs="仿宋_GB2312" w:eastAsia="仿宋_GB2312"/>
                <w:sz w:val="24"/>
              </w:rPr>
              <w:t>②</w:t>
            </w:r>
            <w:r>
              <w:rPr>
                <w:rFonts w:ascii="仿宋_GB2312" w:hAnsi="仿宋_GB2312" w:cs="仿宋_GB2312" w:eastAsia="仿宋_GB2312"/>
                <w:sz w:val="24"/>
              </w:rPr>
              <w:t>或食材新鲜度得分低于</w:t>
            </w:r>
            <w:r>
              <w:rPr>
                <w:rFonts w:ascii="仿宋_GB2312" w:hAnsi="仿宋_GB2312" w:cs="仿宋_GB2312" w:eastAsia="仿宋_GB2312"/>
                <w:sz w:val="24"/>
              </w:rPr>
              <w:t>25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③</w:t>
            </w:r>
            <w:r>
              <w:rPr>
                <w:rFonts w:ascii="仿宋_GB2312" w:hAnsi="仿宋_GB2312" w:cs="仿宋_GB2312" w:eastAsia="仿宋_GB2312"/>
                <w:sz w:val="24"/>
              </w:rPr>
              <w:t>或</w:t>
            </w:r>
            <w:r>
              <w:rPr>
                <w:rFonts w:ascii="仿宋_GB2312" w:hAnsi="仿宋_GB2312" w:cs="仿宋_GB2312" w:eastAsia="仿宋_GB2312"/>
                <w:sz w:val="24"/>
              </w:rPr>
              <w:t>食</w:t>
            </w:r>
            <w:r>
              <w:rPr>
                <w:rFonts w:ascii="仿宋_GB2312" w:hAnsi="仿宋_GB2312" w:cs="仿宋_GB2312" w:eastAsia="仿宋_GB2312"/>
                <w:sz w:val="24"/>
              </w:rPr>
              <w:t>材质量得分低于</w:t>
            </w:r>
            <w:r>
              <w:rPr>
                <w:rFonts w:ascii="仿宋_GB2312" w:hAnsi="仿宋_GB2312" w:cs="仿宋_GB2312" w:eastAsia="仿宋_GB2312"/>
                <w:sz w:val="24"/>
              </w:rPr>
              <w:t>30</w:t>
            </w:r>
            <w:r>
              <w:rPr>
                <w:rFonts w:ascii="仿宋_GB2312" w:hAnsi="仿宋_GB2312" w:cs="仿宋_GB2312" w:eastAsia="仿宋_GB2312"/>
                <w:sz w:val="24"/>
              </w:rPr>
              <w:t>分时</w:t>
            </w:r>
            <w:r>
              <w:rPr>
                <w:rFonts w:ascii="仿宋_GB2312" w:hAnsi="仿宋_GB2312" w:cs="仿宋_GB2312" w:eastAsia="仿宋_GB2312"/>
                <w:sz w:val="24"/>
              </w:rPr>
              <w:t>。</w:t>
            </w:r>
            <w:r>
              <w:rPr>
                <w:rFonts w:ascii="仿宋_GB2312" w:hAnsi="仿宋_GB2312" w:cs="仿宋_GB2312" w:eastAsia="仿宋_GB2312"/>
                <w:sz w:val="24"/>
              </w:rPr>
              <w:t>当</w:t>
            </w:r>
            <w:r>
              <w:rPr>
                <w:rFonts w:ascii="仿宋_GB2312" w:hAnsi="仿宋_GB2312" w:cs="仿宋_GB2312" w:eastAsia="仿宋_GB2312"/>
                <w:sz w:val="24"/>
              </w:rPr>
              <w:t>季度考核</w:t>
            </w:r>
            <w:r>
              <w:rPr>
                <w:rFonts w:ascii="仿宋_GB2312" w:hAnsi="仿宋_GB2312" w:cs="仿宋_GB2312" w:eastAsia="仿宋_GB2312"/>
                <w:sz w:val="24"/>
              </w:rPr>
              <w:t>得分低于</w:t>
            </w:r>
            <w:r>
              <w:rPr>
                <w:rFonts w:ascii="仿宋_GB2312" w:hAnsi="仿宋_GB2312" w:cs="仿宋_GB2312" w:eastAsia="仿宋_GB2312"/>
                <w:sz w:val="24"/>
              </w:rPr>
              <w:t>70</w:t>
            </w:r>
            <w:r>
              <w:rPr>
                <w:rFonts w:ascii="仿宋_GB2312" w:hAnsi="仿宋_GB2312" w:cs="仿宋_GB2312" w:eastAsia="仿宋_GB2312"/>
                <w:sz w:val="24"/>
              </w:rPr>
              <w:t>分时</w:t>
            </w:r>
            <w:r>
              <w:rPr>
                <w:rFonts w:ascii="仿宋_GB2312" w:hAnsi="仿宋_GB2312" w:cs="仿宋_GB2312" w:eastAsia="仿宋_GB2312"/>
                <w:sz w:val="24"/>
              </w:rPr>
              <w:t>、</w:t>
            </w:r>
            <w:r>
              <w:rPr>
                <w:rFonts w:ascii="仿宋_GB2312" w:hAnsi="仿宋_GB2312" w:cs="仿宋_GB2312" w:eastAsia="仿宋_GB2312"/>
                <w:sz w:val="24"/>
              </w:rPr>
              <w:t>或食材新鲜度得分低于</w:t>
            </w:r>
            <w:r>
              <w:rPr>
                <w:rFonts w:ascii="仿宋_GB2312" w:hAnsi="仿宋_GB2312" w:cs="仿宋_GB2312" w:eastAsia="仿宋_GB2312"/>
                <w:sz w:val="24"/>
              </w:rPr>
              <w:t>15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或食材质量得分低于</w:t>
            </w:r>
            <w:r>
              <w:rPr>
                <w:rFonts w:ascii="仿宋_GB2312" w:hAnsi="仿宋_GB2312" w:cs="仿宋_GB2312" w:eastAsia="仿宋_GB2312"/>
                <w:sz w:val="24"/>
              </w:rPr>
              <w:t>25</w:t>
            </w:r>
            <w:r>
              <w:rPr>
                <w:rFonts w:ascii="仿宋_GB2312" w:hAnsi="仿宋_GB2312" w:cs="仿宋_GB2312" w:eastAsia="仿宋_GB2312"/>
                <w:sz w:val="24"/>
              </w:rPr>
              <w:t>分时</w:t>
            </w:r>
            <w:r>
              <w:rPr>
                <w:rFonts w:ascii="仿宋_GB2312" w:hAnsi="仿宋_GB2312" w:cs="仿宋_GB2312" w:eastAsia="仿宋_GB2312"/>
                <w:sz w:val="24"/>
              </w:rPr>
              <w:t>，</w:t>
            </w:r>
            <w:r>
              <w:rPr>
                <w:rFonts w:ascii="仿宋_GB2312" w:hAnsi="仿宋_GB2312" w:cs="仿宋_GB2312" w:eastAsia="仿宋_GB2312"/>
                <w:sz w:val="24"/>
              </w:rPr>
              <w:t>采购人有权要求终止合同。</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364（自2025年3月至2026年2月）</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广元市利州区区属各项目学校指定库房。</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1、验收合格，达到付款条件起5日内，据实情况说明为 次月各学校根据上月实际验收数量，支付上月应付货款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组织方式：各学校按招标文件的质量标准自行分批次验收并做好入库管理；采购人每学期联合区市场监管局、区农业农村局等部门对大宗食材集中履约验收或请第三方专业机构及专家参与抽检验收，相关验收意见作为验收的必备资料。 2.中标人与采购人按照政府采购相关法律法规及《财政部关于进一步加强政府采购需求和履约验收管理的指导意见》（财库〔2016〕205号）、《政府采购需求管理办法》（财库〔2021〕22 号）文件规定、招标文件要求、中标人投标文件承诺及合同约定进行验收。 3.供应商所供投标产品应符合投标文件所列技术参数及性能指标和响应招标文件相关要求，若所供货品不符合，纳入食材质量考核。</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属于国家规定“三包”范围的，其产品质量保质期不得低于“三包”规定。采购人有权随机抽检产品的数量、质量，产生的一切费用由中标人承担。</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1.因货物的质量问题发生争议，由质量技术监督部门或其指定的质量鉴定机构进行质量鉴定。货物符合标准的，鉴定费由甲方承担；货物不符合质量标准的，鉴定费由乙方承担。 2.合同履行期间,若双方发生争议，可协商或由有关部门调解解决，协商或调解不成的，本合同中的任何一方当事人均有权向本合同签订地人民法院起诉。</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364（自2025年3月至2026年2月）</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广元市利州区区属各项目学校指定库房。</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1、验收合格，达到付款条件起5日内，据实情况说明为次月各学校根据上月实际验收数量，支付上月应付货款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组织方式：各学校按招标文件的质量标准自行分批次验收并做好入库管理；采购人每学期联合区市场监管局、区农业农村局等部门对大宗食材集中履约验收或请第三方专业机构及专家参与抽检验收，相关验收意见作为验收的必备资料。 2.中标人与采购人按照政府采购相关法律法规及《财政部关于进一步加强政府采购需求和履约验收管理的指导意见》（财库〔2016〕205号）、《政府采购需求管理办法》（财库〔2021〕22 号）文件规定、招标文件要求、中标人投标文件承诺及合同约定进行验收。 3.供应商所供投标产品应符合投标文件所列技术参数及性能指标和响应招标文件相关要求，若所供货品不符合，纳入食材质量考核。</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属于国家规定“三包”范围的，其产品质量保质期不得低于“三包”规定。采购人有权随机抽检产品的数量、质量，产生的一切费用由中标人承担。</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1.因货物的质量问题发生争议，由质量技术监督部门或其指定的质量鉴定机构进行质量鉴定。货物符合标准的，鉴定费由甲方承担；货物不符合质量标准的，鉴定费由乙方承担。 2.合同履行期间,若双方发生争议，可协商或由有关部门调解解决，协商或调解不成的，本合同中的任何一方当事人均有权向本合同签订地人民法院起诉。</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ab/>
              <w:b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ab/>
              <w:b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投标人需提供有效期内的《生猪定点屠宰许可证》和《动物防疫条件合格证》。</w:t>
            </w:r>
          </w:p>
        </w:tc>
        <w:tc>
          <w:tcPr>
            <w:tcW w:type="dxa" w:w="3322"/>
          </w:tcPr>
          <w:p>
            <w:pPr>
              <w:pStyle w:val="null3"/>
              <w:jc w:val="left"/>
            </w:pPr>
            <w:r>
              <w:rPr>
                <w:rFonts w:ascii="仿宋_GB2312" w:hAnsi="仿宋_GB2312" w:cs="仿宋_GB2312" w:eastAsia="仿宋_GB2312"/>
              </w:rPr>
              <w:t>按要求提供相关证明资料，并进行电子签章。</w:t>
            </w:r>
          </w:p>
        </w:tc>
        <w:tc>
          <w:tcPr>
            <w:tcW w:type="dxa" w:w="1910"/>
          </w:tcPr>
          <w:p>
            <w:pPr>
              <w:pStyle w:val="null3"/>
              <w:jc w:val="left"/>
            </w:pPr>
            <w:r>
              <w:rPr>
                <w:rFonts w:ascii="仿宋_GB2312" w:hAnsi="仿宋_GB2312" w:cs="仿宋_GB2312" w:eastAsia="仿宋_GB2312"/>
              </w:rPr>
              <w:t>投标人应提交的相关证明材料,投标（响应）函,投标人需提交的其他资料.docx</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投标人需提供有效期内的《动物防疫条件合格证》。</w:t>
            </w:r>
          </w:p>
        </w:tc>
        <w:tc>
          <w:tcPr>
            <w:tcW w:type="dxa" w:w="3322"/>
          </w:tcPr>
          <w:p>
            <w:pPr>
              <w:pStyle w:val="null3"/>
              <w:jc w:val="left"/>
            </w:pPr>
            <w:r>
              <w:rPr>
                <w:rFonts w:ascii="仿宋_GB2312" w:hAnsi="仿宋_GB2312" w:cs="仿宋_GB2312" w:eastAsia="仿宋_GB2312"/>
              </w:rPr>
              <w:t>按要求提供相关证明资料，并进行电子签章。</w:t>
            </w:r>
          </w:p>
        </w:tc>
        <w:tc>
          <w:tcPr>
            <w:tcW w:type="dxa" w:w="1910"/>
          </w:tcPr>
          <w:p>
            <w:pPr>
              <w:pStyle w:val="null3"/>
              <w:jc w:val="left"/>
            </w:pPr>
            <w:r>
              <w:rPr>
                <w:rFonts w:ascii="仿宋_GB2312" w:hAnsi="仿宋_GB2312" w:cs="仿宋_GB2312" w:eastAsia="仿宋_GB2312"/>
              </w:rPr>
              <w:t>投标人应提交的相关证明材料,投标人需提交的其他资料.docx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w:t>
            </w:r>
          </w:p>
        </w:tc>
        <w:tc>
          <w:tcPr>
            <w:tcW w:type="dxa" w:w="3322"/>
          </w:tcPr>
          <w:p>
            <w:pPr>
              <w:pStyle w:val="null3"/>
              <w:jc w:val="left"/>
            </w:pPr>
            <w:r>
              <w:rPr>
                <w:rFonts w:ascii="仿宋_GB2312" w:hAnsi="仿宋_GB2312" w:cs="仿宋_GB2312" w:eastAsia="仿宋_GB2312"/>
              </w:rPr>
              <w:t>在评审过程中，评审小组认为供应商报价明显低于其他通过符合性审查供应商的报价，有可能影响产品质量或者不能诚信履约的，评审小组应当要求其在合理的时间内通过交易系统进行书面说明并加盖电子签章，必要时提交相关证明材料。供应商应当按照评审小组要求，通过交易系统进行说明并加盖电子印章及提交相关证明材料。供应商不能证明其报价合理性的，评审小组应当将其响应文件作为无效响应处理。</w:t>
            </w:r>
          </w:p>
        </w:tc>
        <w:tc>
          <w:tcPr>
            <w:tcW w:type="dxa" w:w="1910"/>
          </w:tcPr>
          <w:p>
            <w:pPr>
              <w:pStyle w:val="null3"/>
              <w:jc w:val="left"/>
            </w:pPr>
            <w:r>
              <w:rPr>
                <w:rFonts w:ascii="仿宋_GB2312" w:hAnsi="仿宋_GB2312" w:cs="仿宋_GB2312" w:eastAsia="仿宋_GB2312"/>
              </w:rPr>
              <w:t>投标人应提交的相关证明材料,报价表,投标人需提交的其他资料.docx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第三章技术、服务及其他要求中带“★”的实质性要求</w:t>
            </w:r>
          </w:p>
        </w:tc>
        <w:tc>
          <w:tcPr>
            <w:tcW w:type="dxa" w:w="3322"/>
          </w:tcPr>
          <w:p>
            <w:pPr>
              <w:pStyle w:val="null3"/>
              <w:jc w:val="left"/>
            </w:pPr>
            <w:r>
              <w:rPr>
                <w:rFonts w:ascii="仿宋_GB2312" w:hAnsi="仿宋_GB2312" w:cs="仿宋_GB2312" w:eastAsia="仿宋_GB2312"/>
              </w:rPr>
              <w:t>投标人须针对采购文件的要求进行响应或提供相关证明材料</w:t>
            </w:r>
          </w:p>
        </w:tc>
        <w:tc>
          <w:tcPr>
            <w:tcW w:type="dxa" w:w="1910"/>
          </w:tcPr>
          <w:p>
            <w:pPr>
              <w:pStyle w:val="null3"/>
              <w:jc w:val="left"/>
            </w:pPr>
            <w:r>
              <w:rPr>
                <w:rFonts w:ascii="仿宋_GB2312" w:hAnsi="仿宋_GB2312" w:cs="仿宋_GB2312" w:eastAsia="仿宋_GB2312"/>
              </w:rPr>
              <w:t>投标人应提交的相关证明材料,产品技术参数响应表,商务应答表.docx,投标文件封面,服务应答表,投标人需提交的其他资料.docx</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w:t>
            </w:r>
          </w:p>
        </w:tc>
        <w:tc>
          <w:tcPr>
            <w:tcW w:type="dxa" w:w="3322"/>
          </w:tcPr>
          <w:p>
            <w:pPr>
              <w:pStyle w:val="null3"/>
              <w:jc w:val="left"/>
            </w:pPr>
            <w:r>
              <w:rPr>
                <w:rFonts w:ascii="仿宋_GB2312" w:hAnsi="仿宋_GB2312" w:cs="仿宋_GB2312" w:eastAsia="仿宋_GB2312"/>
              </w:rPr>
              <w:t>在评审过程中，评审小组认为供应商报价明显低于其他通过符合性审查供应商的报价，有可能影响产品质量或者不能诚信履约的，评审小组应当要求其在合理的时间内通过交易系统进行书面说明并加盖电子签章，必要时提交相关证明材料。供应商应当按照评审小组要求，通过交易系统进行说明并加盖电子印章及提交相关证明材料。供应商不能证明其报价合理性的，评审小组应当将其响应文件作为无效响应处理。</w:t>
            </w:r>
          </w:p>
        </w:tc>
        <w:tc>
          <w:tcPr>
            <w:tcW w:type="dxa" w:w="1910"/>
          </w:tcPr>
          <w:p>
            <w:pPr>
              <w:pStyle w:val="null3"/>
              <w:jc w:val="left"/>
            </w:pPr>
            <w:r>
              <w:rPr>
                <w:rFonts w:ascii="仿宋_GB2312" w:hAnsi="仿宋_GB2312" w:cs="仿宋_GB2312" w:eastAsia="仿宋_GB2312"/>
              </w:rPr>
              <w:t>投标人应提交的相关证明材料,报价表,投标人需提交的其他资料.docx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第三章技术、服务及其他要求中带“★”的实质性要求</w:t>
            </w:r>
          </w:p>
        </w:tc>
        <w:tc>
          <w:tcPr>
            <w:tcW w:type="dxa" w:w="3322"/>
          </w:tcPr>
          <w:p>
            <w:pPr>
              <w:pStyle w:val="null3"/>
              <w:jc w:val="left"/>
            </w:pPr>
            <w:r>
              <w:rPr>
                <w:rFonts w:ascii="仿宋_GB2312" w:hAnsi="仿宋_GB2312" w:cs="仿宋_GB2312" w:eastAsia="仿宋_GB2312"/>
              </w:rPr>
              <w:t>投标人须针对采购文件的要求进行响应或提供相关证明材料</w:t>
            </w:r>
          </w:p>
        </w:tc>
        <w:tc>
          <w:tcPr>
            <w:tcW w:type="dxa" w:w="1910"/>
          </w:tcPr>
          <w:p>
            <w:pPr>
              <w:pStyle w:val="null3"/>
              <w:jc w:val="left"/>
            </w:pPr>
            <w:r>
              <w:rPr>
                <w:rFonts w:ascii="仿宋_GB2312" w:hAnsi="仿宋_GB2312" w:cs="仿宋_GB2312" w:eastAsia="仿宋_GB2312"/>
              </w:rPr>
              <w:t>投标人应提交的相关证明材料,产品技术参数响应表,投标文件封面,服务应答表,商务应答表.docx,投标人需提交的其他资料.docx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采购包2：</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详细评审65.00分</w:t>
            </w:r>
          </w:p>
          <w:p>
            <w:pPr>
              <w:pStyle w:val="null3"/>
              <w:jc w:val="left"/>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技术参数及性能 指标</w:t>
            </w:r>
          </w:p>
        </w:tc>
        <w:tc>
          <w:tcPr>
            <w:tcW w:type="dxa" w:w="2575"/>
          </w:tcPr>
          <w:p>
            <w:pPr>
              <w:pStyle w:val="null3"/>
              <w:jc w:val="left"/>
            </w:pPr>
            <w:r>
              <w:rPr>
                <w:rFonts w:ascii="仿宋_GB2312" w:hAnsi="仿宋_GB2312" w:cs="仿宋_GB2312" w:eastAsia="仿宋_GB2312"/>
              </w:rPr>
              <w:t>完全满足技术参数及性能指标（除实质性要求外）的得12分（共计3项）；有负偏的，每项扣4分，扣完为止。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投标人需提交的其他资料.docx</w:t>
            </w:r>
          </w:p>
          <w:p>
            <w:pPr>
              <w:pStyle w:val="null3"/>
              <w:jc w:val="left"/>
            </w:pPr>
            <w:r>
              <w:rPr>
                <w:rFonts w:ascii="仿宋_GB2312" w:hAnsi="仿宋_GB2312" w:cs="仿宋_GB2312" w:eastAsia="仿宋_GB2312"/>
              </w:rPr>
              <w:t>产品技术参数响应表</w:t>
            </w:r>
          </w:p>
        </w:tc>
      </w:tr>
      <w:tr>
        <w:tc>
          <w:tcPr>
            <w:tcW w:type="dxa" w:w="831"/>
            <w:vMerge/>
          </w:tcPr>
          <w:p/>
        </w:tc>
        <w:tc>
          <w:tcPr>
            <w:tcW w:type="dxa" w:w="1661"/>
          </w:tcPr>
          <w:p>
            <w:pPr>
              <w:pStyle w:val="null3"/>
              <w:jc w:val="left"/>
            </w:pPr>
            <w:r>
              <w:rPr>
                <w:rFonts w:ascii="仿宋_GB2312" w:hAnsi="仿宋_GB2312" w:cs="仿宋_GB2312" w:eastAsia="仿宋_GB2312"/>
              </w:rPr>
              <w:t>质量保障及信誉</w:t>
            </w:r>
          </w:p>
        </w:tc>
        <w:tc>
          <w:tcPr>
            <w:tcW w:type="dxa" w:w="2575"/>
          </w:tcPr>
          <w:p>
            <w:pPr>
              <w:pStyle w:val="null3"/>
              <w:jc w:val="left"/>
            </w:pPr>
            <w:r>
              <w:rPr>
                <w:rFonts w:ascii="仿宋_GB2312" w:hAnsi="仿宋_GB2312" w:cs="仿宋_GB2312" w:eastAsia="仿宋_GB2312"/>
              </w:rPr>
              <w:t>1.投标人或所投产品生产企业具有有效期内的质量管理体系认证证书的得1分。 2.投标人或所投产品生产企业具有有效期内的食品安全管理体系认证证书的得1分。 3.投标人或所投产品生产企业具有有效期内的职业健康安全管理体系认证证书的得1分。 4.投标人或所投产品生产企业具有有效期内的危害分析与关键控制点认证证书的得1分。 注：提供证书扫描件以及在全国认证认可信息公共服务平台(http://cx.cnca.cn)的查询完整截图加盖投标人电子签章。</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投标人需提交的其他资料.docx</w:t>
            </w:r>
          </w:p>
        </w:tc>
      </w:tr>
      <w:tr>
        <w:tc>
          <w:tcPr>
            <w:tcW w:type="dxa" w:w="831"/>
            <w:vMerge/>
          </w:tcPr>
          <w:p/>
        </w:tc>
        <w:tc>
          <w:tcPr>
            <w:tcW w:type="dxa" w:w="1661"/>
          </w:tcPr>
          <w:p>
            <w:pPr>
              <w:pStyle w:val="null3"/>
              <w:jc w:val="left"/>
            </w:pPr>
            <w:r>
              <w:rPr>
                <w:rFonts w:ascii="仿宋_GB2312" w:hAnsi="仿宋_GB2312" w:cs="仿宋_GB2312" w:eastAsia="仿宋_GB2312"/>
              </w:rPr>
              <w:t>履约保障能力</w:t>
            </w:r>
          </w:p>
        </w:tc>
        <w:tc>
          <w:tcPr>
            <w:tcW w:type="dxa" w:w="2575"/>
          </w:tcPr>
          <w:p>
            <w:pPr>
              <w:pStyle w:val="null3"/>
              <w:jc w:val="left"/>
            </w:pPr>
            <w:r>
              <w:rPr>
                <w:rFonts w:ascii="仿宋_GB2312" w:hAnsi="仿宋_GB2312" w:cs="仿宋_GB2312" w:eastAsia="仿宋_GB2312"/>
              </w:rPr>
              <w:t>1.投标人提供自2022年1月1日（含）以来类似业绩（类似业绩是指：食堂食材(至少包括本包采购食材)供应或配送业绩）1个的得3分，增加一个加2分，最多得5分。 注：每个业绩须提供项目中标（成交）通知书扫描件、项目合同扫描件、合格的履约验收证明扫描件（均须是自2022年1月1日以来的）并加盖投标人电子签章，任缺一项不得分。 2.投标人具备：①仓储设施；②配送车辆不少于3辆；③持健康证工作人员不少于6人。每提供一项证明材料1分，最多得3分。 注：①仓储设施：租赁的提供仓储设施图片和租赁合同扫描件加盖投标人电子章；自有的提供仓储设施图片和房屋产权证明或买卖合同扫描件加盖投标人电子章；②自有车辆提供车辆行驶证和购买发票扫描件加盖投标人电子章；租赁车辆提供车辆行驶证和租赁协议扫描件加盖投标人电子章；③提供证书扫描件加盖投标人电子章。未提供的不得分。</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投标人需提交的其他资料.docx</w:t>
            </w:r>
          </w:p>
        </w:tc>
      </w:tr>
      <w:tr>
        <w:tc>
          <w:tcPr>
            <w:tcW w:type="dxa" w:w="831"/>
            <w:vMerge/>
          </w:tcPr>
          <w:p/>
        </w:tc>
        <w:tc>
          <w:tcPr>
            <w:tcW w:type="dxa" w:w="1661"/>
          </w:tcPr>
          <w:p>
            <w:pPr>
              <w:pStyle w:val="null3"/>
              <w:jc w:val="left"/>
            </w:pPr>
            <w:r>
              <w:rPr>
                <w:rFonts w:ascii="仿宋_GB2312" w:hAnsi="仿宋_GB2312" w:cs="仿宋_GB2312" w:eastAsia="仿宋_GB2312"/>
              </w:rPr>
              <w:t>配送及售后方案</w:t>
            </w:r>
          </w:p>
        </w:tc>
        <w:tc>
          <w:tcPr>
            <w:tcW w:type="dxa" w:w="2575"/>
          </w:tcPr>
          <w:p>
            <w:pPr>
              <w:pStyle w:val="null3"/>
              <w:jc w:val="left"/>
            </w:pPr>
            <w:r>
              <w:rPr>
                <w:rFonts w:ascii="仿宋_GB2312" w:hAnsi="仿宋_GB2312" w:cs="仿宋_GB2312" w:eastAsia="仿宋_GB2312"/>
              </w:rPr>
              <w:t>1.配送方案（包含但不限于以下内容）：①配送人员分工；②配送人员职责；③配送车辆配置；④配送线路规划；⑤配送应急措施；⑥配送服务承诺等内容完全满足要求的每项得2分，最多得12分。每有一项缺项的扣2分，每有一项有缺陷的扣1分，扣完为止。 2.售后服务方案（包含但不限于以下内容）：①服务机构设置；②售后服务响应时间；③售后人员的配置；④售后网点的配置；⑤售后保障措施；⑥售后服务承诺等内容完全满足要求的每项得2分，最多得12分。每有一项缺项的扣2分，每有一项有缺陷的扣1分，扣完为止。 3.安全应急方案（包含但不限于以下内容）：①应急组织机构与职责；②应急响应措施；③应急保障预案；④食品安全追溯体系等内容完全满足要求的每项得1分，最多得4分。每有一项缺项的扣1分，每有一项有缺陷的扣0.5分，扣完为止。 注：内容完全满足要求是指：①内容与项目技术服务需求吻合、有具体详细的阐述；②内容从实际出发，切合项目背景、项目需求；③内容符合国家、地方、行业标准、行业惯例以及项目特点。④内容清楚明了、表述规范、含义准确。缺陷是指：①存在与本项目无关的其他行业、其他区域地点或无关的文字内容；②内容与本项目需求无关、方案内容冲突、仅有框架或标题；③不符合本项目涉及的行业相关规范或标准等任一情形。</w:t>
            </w:r>
          </w:p>
        </w:tc>
        <w:tc>
          <w:tcPr>
            <w:tcW w:type="dxa" w:w="831"/>
          </w:tcPr>
          <w:p>
            <w:pPr>
              <w:pStyle w:val="null3"/>
              <w:jc w:val="center"/>
            </w:pPr>
            <w:r>
              <w:rPr>
                <w:rFonts w:ascii="仿宋_GB2312" w:hAnsi="仿宋_GB2312" w:cs="仿宋_GB2312" w:eastAsia="仿宋_GB2312"/>
              </w:rPr>
              <w:t>28.0000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投标人需提交的其他资料.docx</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安全责任</w:t>
            </w:r>
          </w:p>
        </w:tc>
        <w:tc>
          <w:tcPr>
            <w:tcW w:type="dxa" w:w="2575"/>
          </w:tcPr>
          <w:p>
            <w:pPr>
              <w:pStyle w:val="null3"/>
              <w:jc w:val="left"/>
            </w:pPr>
            <w:r>
              <w:rPr>
                <w:rFonts w:ascii="仿宋_GB2312" w:hAnsi="仿宋_GB2312" w:cs="仿宋_GB2312" w:eastAsia="仿宋_GB2312"/>
              </w:rPr>
              <w:t>1.投标人提供所投产品的食品安全责任险，承保额度达到3000万元的得3分，每增加2000万元加1分，最多得6分。 注：提供保险公司保单扫描件加盖投标人电子签章，未提供的不得分。 2.投标人或所投产品生产企业具有产品专职检测员1人的得1分、2人的得3分、3人及以上的得5分。最多得5分。 注：提供专职检测员专业证书扫描件和属于本单位为人员近一年内的劳动合同或近一年任意三个月的工资证明，如果成立不满三个月的公司可以提供承诺函扫描件加盖投标人电子签章，未提供的不得分。 3.投标人承诺在签订合同前，在标准化库房内安装网络监控视频，满足采购人随时随地可通过网络监控视频调看库房实时情况的得2分，未承诺的不得分。 注：提供承诺函并进行电子签章。</w:t>
            </w:r>
          </w:p>
        </w:tc>
        <w:tc>
          <w:tcPr>
            <w:tcW w:type="dxa" w:w="831"/>
          </w:tcPr>
          <w:p>
            <w:pPr>
              <w:pStyle w:val="null3"/>
              <w:jc w:val="center"/>
            </w:pPr>
            <w:r>
              <w:rPr>
                <w:rFonts w:ascii="仿宋_GB2312" w:hAnsi="仿宋_GB2312" w:cs="仿宋_GB2312" w:eastAsia="仿宋_GB2312"/>
              </w:rPr>
              <w:t>13.0000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投标人需提交的其他资料.docx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猪肉</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详细评审65.00分</w:t>
            </w:r>
          </w:p>
          <w:p>
            <w:pPr>
              <w:pStyle w:val="null3"/>
              <w:jc w:val="left"/>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技术参数及性能指标</w:t>
            </w:r>
          </w:p>
        </w:tc>
        <w:tc>
          <w:tcPr>
            <w:tcW w:type="dxa" w:w="2575"/>
          </w:tcPr>
          <w:p>
            <w:pPr>
              <w:pStyle w:val="null3"/>
              <w:jc w:val="left"/>
            </w:pPr>
            <w:r>
              <w:rPr>
                <w:rFonts w:ascii="仿宋_GB2312" w:hAnsi="仿宋_GB2312" w:cs="仿宋_GB2312" w:eastAsia="仿宋_GB2312"/>
              </w:rPr>
              <w:t>完全满足技术参数及性能指标（除实质性要求外）的得12分（共计3项）；有负偏的，每项扣4分，扣完为止。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投标人需提交的其他资料.docx</w:t>
            </w:r>
          </w:p>
          <w:p>
            <w:pPr>
              <w:pStyle w:val="null3"/>
              <w:jc w:val="left"/>
            </w:pPr>
            <w:r>
              <w:rPr>
                <w:rFonts w:ascii="仿宋_GB2312" w:hAnsi="仿宋_GB2312" w:cs="仿宋_GB2312" w:eastAsia="仿宋_GB2312"/>
              </w:rPr>
              <w:t>产品技术参数响应表</w:t>
            </w:r>
          </w:p>
        </w:tc>
      </w:tr>
      <w:tr>
        <w:tc>
          <w:tcPr>
            <w:tcW w:type="dxa" w:w="831"/>
            <w:vMerge/>
          </w:tcPr>
          <w:p/>
        </w:tc>
        <w:tc>
          <w:tcPr>
            <w:tcW w:type="dxa" w:w="1661"/>
          </w:tcPr>
          <w:p>
            <w:pPr>
              <w:pStyle w:val="null3"/>
              <w:jc w:val="left"/>
            </w:pPr>
            <w:r>
              <w:rPr>
                <w:rFonts w:ascii="仿宋_GB2312" w:hAnsi="仿宋_GB2312" w:cs="仿宋_GB2312" w:eastAsia="仿宋_GB2312"/>
              </w:rPr>
              <w:t>质量保障及信誉</w:t>
            </w:r>
          </w:p>
        </w:tc>
        <w:tc>
          <w:tcPr>
            <w:tcW w:type="dxa" w:w="2575"/>
          </w:tcPr>
          <w:p>
            <w:pPr>
              <w:pStyle w:val="null3"/>
              <w:jc w:val="left"/>
            </w:pPr>
            <w:r>
              <w:rPr>
                <w:rFonts w:ascii="仿宋_GB2312" w:hAnsi="仿宋_GB2312" w:cs="仿宋_GB2312" w:eastAsia="仿宋_GB2312"/>
              </w:rPr>
              <w:t>1.投标人或所投产品生产企业具有有效期内的质量管理体系认证证书的得1分。2.投标人或所投产品生产企业具有有效期内的食品安全管理体系认证证书的得1分。3.投标人或所投产品生产企业具有有效期内的职业健康安全管理体系认证证书的得1分。4.投标人或所投产品生产企业具有有效期内的危害分析与关键控制点认证证书的得1分。注：提供证书扫描件以及在全国认证认可信息公共服务平台(http://cx.cnca.cn)的查询完整截图加盖投标人电子签章。</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投标人需提交的其他资料.docx</w:t>
            </w:r>
          </w:p>
        </w:tc>
      </w:tr>
      <w:tr>
        <w:tc>
          <w:tcPr>
            <w:tcW w:type="dxa" w:w="831"/>
            <w:vMerge/>
          </w:tcPr>
          <w:p/>
        </w:tc>
        <w:tc>
          <w:tcPr>
            <w:tcW w:type="dxa" w:w="1661"/>
          </w:tcPr>
          <w:p>
            <w:pPr>
              <w:pStyle w:val="null3"/>
              <w:jc w:val="left"/>
            </w:pPr>
            <w:r>
              <w:rPr>
                <w:rFonts w:ascii="仿宋_GB2312" w:hAnsi="仿宋_GB2312" w:cs="仿宋_GB2312" w:eastAsia="仿宋_GB2312"/>
              </w:rPr>
              <w:t>履约保障能力</w:t>
            </w:r>
          </w:p>
        </w:tc>
        <w:tc>
          <w:tcPr>
            <w:tcW w:type="dxa" w:w="2575"/>
          </w:tcPr>
          <w:p>
            <w:pPr>
              <w:pStyle w:val="null3"/>
              <w:jc w:val="left"/>
            </w:pPr>
            <w:r>
              <w:rPr>
                <w:rFonts w:ascii="仿宋_GB2312" w:hAnsi="仿宋_GB2312" w:cs="仿宋_GB2312" w:eastAsia="仿宋_GB2312"/>
              </w:rPr>
              <w:t>1.投标人提供自2022年1月1日（含）以来类似业绩（类似业绩是指：食堂食材(至少包括本包采购食材)供应或配送业绩）1个的得3分，增加一个加2分，最多得5分。 注：每个业绩须提供项目中标（成交）通知书扫描件、项目合同扫描件、合格的履约验收证明扫描件（均须是自2022年1月1日以来的）并加盖投标人电子签章，任缺一项不得分。 2.投标人具备：①仓储设施；②配送车辆不少于3辆；③持健康证工作人员不少于6人。每提供一项证明材料1分，最多得3分。 注：①仓储设施：租赁的提供仓储设施图片和租赁合同扫描件加盖投标人电子章；自有的提供仓储设施图片和房屋产权证明或买卖合同扫描件加盖投标人电子章；②自有车辆提供车辆行驶证和购买发票扫描件加盖投标人电子章；租赁车辆提供车辆行驶证和租赁协议扫描件加盖投标人电子章；③提供证书扫描件加盖投标人电子章。未提供的不得分。</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配送及售后方案</w:t>
            </w:r>
          </w:p>
        </w:tc>
        <w:tc>
          <w:tcPr>
            <w:tcW w:type="dxa" w:w="2575"/>
          </w:tcPr>
          <w:p>
            <w:pPr>
              <w:pStyle w:val="null3"/>
              <w:jc w:val="left"/>
            </w:pPr>
            <w:r>
              <w:rPr>
                <w:rFonts w:ascii="仿宋_GB2312" w:hAnsi="仿宋_GB2312" w:cs="仿宋_GB2312" w:eastAsia="仿宋_GB2312"/>
              </w:rPr>
              <w:t>1.配送方案（包含但不限于以下内容）：①配送人员分工；②配送人员职责；③配送车辆配置；④配送线路规划；⑤配送应急措施；⑥配送服务承诺等内容完全满足要求的每项得2分，最多得12分。每有一项缺项的扣2分，每有一项有缺陷的扣1分，扣完为止。 2.售后服务方案（包含但不限于以下内容）：①服务机构设置；②售后服务响应时间；③售后人员的配置；④售后网点的配置；⑤售后保障措施；⑥售后服务承诺等内容完全满足要求的每项得2分，最多得12分。每有一项缺项的扣2分，每有一项有缺陷的扣1分，扣完为止。 3.安全应急方案（包含但不限于以下内容）：①应急组织机构与职责；②应急响应措施；③应急保障预案；④食品安全追溯体系等内容完全满足要求的每项得1分，最多得4分。每有一项缺项的扣1分，每有一项有缺陷的扣0.5分，扣完为止。 注：内容完全满足要求是指：①内容与项目技术服务需求吻合、有具体详细的阐述；②内容从实际出发，切合项目背景、项目需求；③内容符合国家、地方、行业标准、行业惯例以及项目特点。④内容清楚明了、表述规范、含义准确。缺陷是指：①存在与本项目无关的其他行业、其他区域地点或无关的文字内容；②内容与本项目需求无关、方案内容冲突、仅有框架或标题；③不符合本项目涉及的行业相关规范或标准等任一情形。</w:t>
            </w:r>
          </w:p>
        </w:tc>
        <w:tc>
          <w:tcPr>
            <w:tcW w:type="dxa" w:w="831"/>
          </w:tcPr>
          <w:p>
            <w:pPr>
              <w:pStyle w:val="null3"/>
              <w:jc w:val="center"/>
            </w:pPr>
            <w:r>
              <w:rPr>
                <w:rFonts w:ascii="仿宋_GB2312" w:hAnsi="仿宋_GB2312" w:cs="仿宋_GB2312" w:eastAsia="仿宋_GB2312"/>
              </w:rPr>
              <w:t>28.0000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投标人需提交的其他资料.docx</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安全责任</w:t>
            </w:r>
          </w:p>
        </w:tc>
        <w:tc>
          <w:tcPr>
            <w:tcW w:type="dxa" w:w="2575"/>
          </w:tcPr>
          <w:p>
            <w:pPr>
              <w:pStyle w:val="null3"/>
              <w:jc w:val="left"/>
            </w:pPr>
            <w:r>
              <w:rPr>
                <w:rFonts w:ascii="仿宋_GB2312" w:hAnsi="仿宋_GB2312" w:cs="仿宋_GB2312" w:eastAsia="仿宋_GB2312"/>
              </w:rPr>
              <w:t>1.投标人提供所投产品的食品安全责任险，承保额度达到3000万元的得3分，每增加2000万元加1分，最多得6分。 注：提供保险公司保单扫描件加盖投标人电子签章，未提供的不得分。 2.投标人或所投产品生产企业具有产品专职检测员1人的得3分、2人及以上的得5分；最多得5分。 注：提供专职检测员专业证书扫描件和属于本单位为人员近一年内的劳动合同或近一年任意三个月的工资证明，如果成立不满三个月的公司可以提供承诺函扫描件加盖投标人电子签章，未提供的不得分。 3.投标人承诺在签订合同前，在建好的标准化库房内安装网络监控视频，满足采购人随时随地可通过网络监控视频调看库房实时情况的得2分，未承诺的不得分。 注：提供承诺函并进行电子签章。</w:t>
            </w:r>
          </w:p>
        </w:tc>
        <w:tc>
          <w:tcPr>
            <w:tcW w:type="dxa" w:w="831"/>
          </w:tcPr>
          <w:p>
            <w:pPr>
              <w:pStyle w:val="null3"/>
              <w:jc w:val="center"/>
            </w:pPr>
            <w:r>
              <w:rPr>
                <w:rFonts w:ascii="仿宋_GB2312" w:hAnsi="仿宋_GB2312" w:cs="仿宋_GB2312" w:eastAsia="仿宋_GB2312"/>
              </w:rPr>
              <w:t>13.0000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投标人需提交的其他资料.docx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牛肉</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-20%）；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-20%）；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 xml:space="preserve"> 本项目授权评标委员会在评标报告确定的中标候选人名单中按顺序直接确定1名中标人，确认后代理机构在四川政府采购网发布中标公告，同时向中标人发出中标通知书。</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详见附件：投标人需提交的其他资料.docx</w:t>
      </w:r>
    </w:p>
    <w:p>
      <w:pPr>
        <w:pStyle w:val="null3"/>
        <w:ind w:firstLine="960"/>
        <w:jc w:val="left"/>
      </w:pPr>
      <w:r>
        <w:rPr>
          <w:rFonts w:ascii="仿宋_GB2312" w:hAnsi="仿宋_GB2312" w:cs="仿宋_GB2312" w:eastAsia="仿宋_GB2312"/>
        </w:rPr>
        <w:t>详见附件：商务应答表.docx</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详见附件：投标人需提交的其他资料.docx</w:t>
      </w:r>
    </w:p>
    <w:p>
      <w:pPr>
        <w:pStyle w:val="null3"/>
        <w:ind w:firstLine="960"/>
        <w:jc w:val="left"/>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