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版本号：N511111202500000620250402002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2024年沙湾区地膜科学使用回收项目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N5111112025000006</w:t>
      </w:r>
    </w:p>
    <w:p>
      <w:pPr>
        <w:pStyle w:val="null3"/>
        <w:jc w:val="left"/>
        <w:outlineLvl w:val="2"/>
      </w:pPr>
      <w:r>
        <w:rPr>
          <w:rFonts w:ascii="仿宋_GB2312" w:hAnsi="仿宋_GB2312" w:cs="仿宋_GB2312" w:eastAsia="仿宋_GB2312"/>
          <w:sz w:val="28"/>
          <w:b/>
        </w:rPr>
        <w:t>乐山市沙湾区农业农村局</w:t>
      </w:r>
    </w:p>
    <w:p>
      <w:pPr>
        <w:pStyle w:val="null3"/>
        <w:jc w:val="center"/>
        <w:outlineLvl w:val="2"/>
      </w:pPr>
      <w:r>
        <w:rPr>
          <w:rFonts w:ascii="仿宋_GB2312" w:hAnsi="仿宋_GB2312" w:cs="仿宋_GB2312" w:eastAsia="仿宋_GB2312"/>
          <w:sz w:val="28"/>
          <w:b/>
        </w:rPr>
        <w:t>四川昀思工程管理有限公司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四川昀思工程管理有限公司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乐山市沙湾区农业农村局</w:t>
      </w:r>
      <w:r>
        <w:rPr>
          <w:rFonts w:ascii="仿宋_GB2312" w:hAnsi="仿宋_GB2312" w:cs="仿宋_GB2312" w:eastAsia="仿宋_GB2312"/>
        </w:rPr>
        <w:t xml:space="preserve"> 委托，拟对 </w:t>
      </w:r>
      <w:r>
        <w:rPr>
          <w:rFonts w:ascii="仿宋_GB2312" w:hAnsi="仿宋_GB2312" w:cs="仿宋_GB2312" w:eastAsia="仿宋_GB2312"/>
        </w:rPr>
        <w:t>2024年沙湾区地膜科学使用回收项目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乐山市沙湾区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N5111112025000006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2024年沙湾区地膜科学使用回收项目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在乐山市沙湾区推进地膜科学使用。推广使用0.015毫米的加厚高强度地膜18万亩，主要用于中药材及粮蔬等经济作物。根据不同作物特性，采用不同类型的地膜。</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乐山市沙湾区农业农村局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四川省乐山市沙湾区茶溪路13号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614900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0833-3441255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四川昀思工程管理有限公司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四川省乐山市市中区嘉兴路678号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0833-2408676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采购包1：6,300,000.00元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代理服务费收费标准：本项目招标代理服务费参照原《招标代理服务收费管理暂行办法》(计价格〔2002〕1980号)标准下浮5%收取（计费基准以采购预算为准）。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乐山市沙湾区农业农村局</w:t>
      </w:r>
      <w:r>
        <w:rPr>
          <w:rFonts w:ascii="仿宋_GB2312" w:hAnsi="仿宋_GB2312" w:cs="仿宋_GB2312" w:eastAsia="仿宋_GB2312"/>
        </w:rPr>
        <w:t xml:space="preserve"> 和 </w:t>
      </w:r>
      <w:r>
        <w:rPr>
          <w:rFonts w:ascii="仿宋_GB2312" w:hAnsi="仿宋_GB2312" w:cs="仿宋_GB2312" w:eastAsia="仿宋_GB2312"/>
        </w:rPr>
        <w:t>四川昀思工程管理有限公司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乐山市沙湾区农业农村局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四川昀思工程管理有限公司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投标人提出验收申请之日起30日内组织验收</w:t>
      </w:r>
      <w:r>
        <w:rPr>
          <w:rFonts w:ascii="仿宋_GB2312" w:hAnsi="仿宋_GB2312" w:cs="仿宋_GB2312" w:eastAsia="仿宋_GB2312"/>
        </w:rPr>
        <w:t xml:space="preserve"> ，达到验收条件起 </w:t>
      </w:r>
      <w:r>
        <w:rPr>
          <w:rFonts w:ascii="仿宋_GB2312" w:hAnsi="仿宋_GB2312" w:cs="仿宋_GB2312" w:eastAsia="仿宋_GB2312"/>
        </w:rPr>
        <w:t>30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按国家有关规定以及采购人采购文件的质量要求和技术要求、投标人的投标文件及承诺与本项目合同约定标准进行验收。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按国家有关规定以及采购人采购文件的质量要求和技术要求、投标人的投标文件及承诺与本项目合同约定标准进行验收。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严格按照《财政部关于进一步加强政府采购需求和履约验收管理的指导意见》(财库〔2016〕205 号)和《乐山市财政局关于沿用乐山市政府采购项目需求论证和履约验收管理实施细则的通知》（乐市财政采〔2021〕8号）的要求及国家行业主管部门规定的标准、方法和内容进行验收。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乐山市沙湾区农业农村局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四川昀思工程管理有限公司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四川昀思工程管理有限公司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联系人：郭雪琳</w:t>
      </w:r>
    </w:p>
    <w:p>
      <w:pPr>
        <w:pStyle w:val="null3"/>
        <w:jc w:val="left"/>
      </w:pPr>
      <w:r>
        <w:rPr>
          <w:rFonts w:ascii="仿宋_GB2312" w:hAnsi="仿宋_GB2312" w:cs="仿宋_GB2312" w:eastAsia="仿宋_GB2312"/>
        </w:rPr>
        <w:t>联系电话：0833-2408676</w:t>
      </w:r>
    </w:p>
    <w:p>
      <w:pPr>
        <w:pStyle w:val="null3"/>
        <w:jc w:val="left"/>
      </w:pPr>
      <w:r>
        <w:rPr>
          <w:rFonts w:ascii="仿宋_GB2312" w:hAnsi="仿宋_GB2312" w:cs="仿宋_GB2312" w:eastAsia="仿宋_GB2312"/>
        </w:rPr>
        <w:t>地址：乐山市市中区嘉兴路678号</w:t>
      </w:r>
    </w:p>
    <w:p>
      <w:pPr>
        <w:pStyle w:val="null3"/>
        <w:jc w:val="left"/>
      </w:pPr>
      <w:r>
        <w:rPr>
          <w:rFonts w:ascii="仿宋_GB2312" w:hAnsi="仿宋_GB2312" w:cs="仿宋_GB2312" w:eastAsia="仿宋_GB2312"/>
        </w:rPr>
        <w:t>邮编：614000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6,300,000.00</w:t>
      </w:r>
    </w:p>
    <w:p>
      <w:pPr>
        <w:pStyle w:val="null3"/>
        <w:jc w:val="left"/>
      </w:pPr>
      <w:r>
        <w:rPr>
          <w:rFonts w:ascii="仿宋_GB2312" w:hAnsi="仿宋_GB2312" w:cs="仿宋_GB2312" w:eastAsia="仿宋_GB2312"/>
        </w:rPr>
        <w:t>采购包最高限价（元）: 6,300,000.00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C09019900 其他农业服务</w:t>
            </w:r>
          </w:p>
        </w:tc>
        <w:tc>
          <w:tcPr>
            <w:tcW w:type="dxa" w:w="821"/>
          </w:tcPr>
          <w:p>
            <w:pPr>
              <w:pStyle w:val="null3"/>
              <w:jc w:val="left"/>
            </w:pPr>
            <w:r>
              <w:rPr>
                <w:rFonts w:ascii="仿宋_GB2312" w:hAnsi="仿宋_GB2312" w:cs="仿宋_GB2312" w:eastAsia="仿宋_GB2312"/>
              </w:rPr>
              <w:t>2024年沙湾区地膜科学使用回收项目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6,300,000.00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2024年沙湾区地膜科学使用回收项目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6,300,000.00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本次报价采用人民币报价，报价为总价包干，包含完成本项目所涉及人员劳务、差旅、设备投入、资料采集调查、材料运送、材料印刷、编制、会务费、保险、风险、税金、利润等直至验收合格交付使用的一切费用。</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标的名称：2024年沙湾区地膜科学使用回收项目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满足本次服务采购的产品技术要求</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28"/>
              <w:gridCol w:w="781"/>
              <w:gridCol w:w="3303"/>
              <w:gridCol w:w="537"/>
              <w:gridCol w:w="529"/>
            </w:tblGrid>
            <w:tr>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标的名称</w:t>
                  </w:r>
                </w:p>
              </w:tc>
              <w:tc>
                <w:tcPr>
                  <w:tcW w:type="dxa" w:w="3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r>
            <w:tr>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加厚高强度地膜</w:t>
                  </w:r>
                </w:p>
              </w:tc>
              <w:tc>
                <w:tcPr>
                  <w:tcW w:type="dxa" w:w="3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b/>
                      <w:color w:val="000000"/>
                    </w:rPr>
                    <w:t>1、厚度及厚度偏差：</w:t>
                  </w:r>
                  <w:r>
                    <w:rPr>
                      <w:rFonts w:ascii="仿宋_GB2312" w:hAnsi="仿宋_GB2312" w:cs="仿宋_GB2312" w:eastAsia="仿宋_GB2312"/>
                      <w:sz w:val="24"/>
                      <w:color w:val="000000"/>
                    </w:rPr>
                    <w:t>标称厚度</w:t>
                  </w:r>
                  <w:r>
                    <w:rPr>
                      <w:rFonts w:ascii="仿宋_GB2312" w:hAnsi="仿宋_GB2312" w:cs="仿宋_GB2312" w:eastAsia="仿宋_GB2312"/>
                      <w:sz w:val="24"/>
                      <w:color w:val="000000"/>
                    </w:rPr>
                    <w:t>0.015mm，极限偏差-0.003mm ～+0.004mm，平均厚度偏差-12%～+15%。</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投标人</w:t>
                  </w:r>
                  <w:r>
                    <w:rPr>
                      <w:rFonts w:ascii="仿宋_GB2312" w:hAnsi="仿宋_GB2312" w:cs="仿宋_GB2312" w:eastAsia="仿宋_GB2312"/>
                      <w:sz w:val="24"/>
                      <w:b/>
                      <w:color w:val="000000"/>
                    </w:rPr>
                    <w:t>投标时</w:t>
                  </w:r>
                  <w:r>
                    <w:rPr>
                      <w:rFonts w:ascii="仿宋_GB2312" w:hAnsi="仿宋_GB2312" w:cs="仿宋_GB2312" w:eastAsia="仿宋_GB2312"/>
                      <w:sz w:val="24"/>
                      <w:b/>
                      <w:color w:val="000000"/>
                    </w:rPr>
                    <w:t>须提供带有</w:t>
                  </w:r>
                  <w:r>
                    <w:rPr>
                      <w:rFonts w:ascii="仿宋_GB2312" w:hAnsi="仿宋_GB2312" w:cs="仿宋_GB2312" w:eastAsia="仿宋_GB2312"/>
                      <w:sz w:val="24"/>
                      <w:b/>
                      <w:color w:val="000000"/>
                    </w:rPr>
                    <w:t>CMA或CNAS标志的第三方</w:t>
                  </w:r>
                  <w:r>
                    <w:rPr>
                      <w:rFonts w:ascii="仿宋_GB2312" w:hAnsi="仿宋_GB2312" w:cs="仿宋_GB2312" w:eastAsia="仿宋_GB2312"/>
                      <w:sz w:val="24"/>
                      <w:b/>
                      <w:color w:val="000000"/>
                    </w:rPr>
                    <w:t>检验（</w:t>
                  </w:r>
                  <w:r>
                    <w:rPr>
                      <w:rFonts w:ascii="仿宋_GB2312" w:hAnsi="仿宋_GB2312" w:cs="仿宋_GB2312" w:eastAsia="仿宋_GB2312"/>
                      <w:sz w:val="24"/>
                      <w:b/>
                      <w:color w:val="000000"/>
                    </w:rPr>
                    <w:t>检测</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报告作为佐证</w:t>
                  </w:r>
                  <w:r>
                    <w:rPr>
                      <w:rFonts w:ascii="仿宋_GB2312" w:hAnsi="仿宋_GB2312" w:cs="仿宋_GB2312" w:eastAsia="仿宋_GB2312"/>
                      <w:sz w:val="24"/>
                      <w:b/>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2</w:t>
                  </w:r>
                  <w:r>
                    <w:rPr>
                      <w:rFonts w:ascii="仿宋_GB2312" w:hAnsi="仿宋_GB2312" w:cs="仿宋_GB2312" w:eastAsia="仿宋_GB2312"/>
                      <w:sz w:val="24"/>
                      <w:b/>
                      <w:color w:val="000000"/>
                    </w:rPr>
                    <w:t>、拉伸负荷（</w:t>
                  </w:r>
                  <w:r>
                    <w:rPr>
                      <w:rFonts w:ascii="仿宋_GB2312" w:hAnsi="仿宋_GB2312" w:cs="仿宋_GB2312" w:eastAsia="仿宋_GB2312"/>
                      <w:sz w:val="24"/>
                      <w:b/>
                      <w:color w:val="000000"/>
                    </w:rPr>
                    <w:t>N）：</w:t>
                  </w:r>
                  <w:r>
                    <w:rPr>
                      <w:rFonts w:ascii="仿宋_GB2312" w:hAnsi="仿宋_GB2312" w:cs="仿宋_GB2312" w:eastAsia="仿宋_GB2312"/>
                      <w:sz w:val="24"/>
                      <w:color w:val="000000"/>
                    </w:rPr>
                    <w:t>纵向</w:t>
                  </w:r>
                  <w:r>
                    <w:rPr>
                      <w:rFonts w:ascii="仿宋_GB2312" w:hAnsi="仿宋_GB2312" w:cs="仿宋_GB2312" w:eastAsia="仿宋_GB2312"/>
                      <w:sz w:val="24"/>
                      <w:color w:val="000000"/>
                    </w:rPr>
                    <w:t>≥3.4N，横向≥2.8N。</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3</w:t>
                  </w:r>
                  <w:r>
                    <w:rPr>
                      <w:rFonts w:ascii="仿宋_GB2312" w:hAnsi="仿宋_GB2312" w:cs="仿宋_GB2312" w:eastAsia="仿宋_GB2312"/>
                      <w:sz w:val="24"/>
                      <w:b/>
                      <w:color w:val="000000"/>
                    </w:rPr>
                    <w:t>、断裂标称应变（</w:t>
                  </w:r>
                  <w:r>
                    <w:rPr>
                      <w:rFonts w:ascii="仿宋_GB2312" w:hAnsi="仿宋_GB2312" w:cs="仿宋_GB2312" w:eastAsia="仿宋_GB2312"/>
                      <w:sz w:val="24"/>
                      <w:b/>
                      <w:color w:val="000000"/>
                    </w:rPr>
                    <w:t>%）：</w:t>
                  </w:r>
                  <w:r>
                    <w:rPr>
                      <w:rFonts w:ascii="仿宋_GB2312" w:hAnsi="仿宋_GB2312" w:cs="仿宋_GB2312" w:eastAsia="仿宋_GB2312"/>
                      <w:sz w:val="24"/>
                      <w:color w:val="000000"/>
                    </w:rPr>
                    <w:t>纵向</w:t>
                  </w:r>
                  <w:r>
                    <w:rPr>
                      <w:rFonts w:ascii="仿宋_GB2312" w:hAnsi="仿宋_GB2312" w:cs="仿宋_GB2312" w:eastAsia="仿宋_GB2312"/>
                      <w:sz w:val="24"/>
                      <w:color w:val="000000"/>
                    </w:rPr>
                    <w:t>≥</w:t>
                  </w:r>
                  <w:r>
                    <w:rPr>
                      <w:rFonts w:ascii="仿宋_GB2312" w:hAnsi="仿宋_GB2312" w:cs="仿宋_GB2312" w:eastAsia="仿宋_GB2312"/>
                      <w:sz w:val="24"/>
                      <w:color w:val="000000"/>
                    </w:rPr>
                    <w:t>400%</w:t>
                  </w:r>
                  <w:r>
                    <w:rPr>
                      <w:rFonts w:ascii="仿宋_GB2312" w:hAnsi="仿宋_GB2312" w:cs="仿宋_GB2312" w:eastAsia="仿宋_GB2312"/>
                      <w:sz w:val="24"/>
                      <w:color w:val="000000"/>
                    </w:rPr>
                    <w:t>，横向</w:t>
                  </w:r>
                  <w:r>
                    <w:rPr>
                      <w:rFonts w:ascii="仿宋_GB2312" w:hAnsi="仿宋_GB2312" w:cs="仿宋_GB2312" w:eastAsia="仿宋_GB2312"/>
                      <w:sz w:val="24"/>
                      <w:color w:val="000000"/>
                    </w:rPr>
                    <w:t>≥</w:t>
                  </w:r>
                  <w:r>
                    <w:rPr>
                      <w:rFonts w:ascii="仿宋_GB2312" w:hAnsi="仿宋_GB2312" w:cs="仿宋_GB2312" w:eastAsia="仿宋_GB2312"/>
                      <w:sz w:val="24"/>
                      <w:color w:val="000000"/>
                    </w:rPr>
                    <w:t>650%。</w:t>
                  </w:r>
                </w:p>
                <w:p>
                  <w:pPr>
                    <w:pStyle w:val="null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4</w:t>
                  </w:r>
                  <w:r>
                    <w:rPr>
                      <w:rFonts w:ascii="仿宋_GB2312" w:hAnsi="仿宋_GB2312" w:cs="仿宋_GB2312" w:eastAsia="仿宋_GB2312"/>
                      <w:sz w:val="24"/>
                      <w:b/>
                      <w:color w:val="000000"/>
                    </w:rPr>
                    <w:t>、直角撕裂负荷（</w:t>
                  </w:r>
                  <w:r>
                    <w:rPr>
                      <w:rFonts w:ascii="仿宋_GB2312" w:hAnsi="仿宋_GB2312" w:cs="仿宋_GB2312" w:eastAsia="仿宋_GB2312"/>
                      <w:sz w:val="24"/>
                      <w:b/>
                      <w:color w:val="000000"/>
                    </w:rPr>
                    <w:t>N）：</w:t>
                  </w:r>
                  <w:r>
                    <w:rPr>
                      <w:rFonts w:ascii="仿宋_GB2312" w:hAnsi="仿宋_GB2312" w:cs="仿宋_GB2312" w:eastAsia="仿宋_GB2312"/>
                      <w:sz w:val="24"/>
                      <w:color w:val="000000"/>
                    </w:rPr>
                    <w:t>纵向</w:t>
                  </w:r>
                  <w:r>
                    <w:rPr>
                      <w:rFonts w:ascii="仿宋_GB2312" w:hAnsi="仿宋_GB2312" w:cs="仿宋_GB2312" w:eastAsia="仿宋_GB2312"/>
                      <w:sz w:val="24"/>
                      <w:color w:val="000000"/>
                    </w:rPr>
                    <w:t>≥1.</w:t>
                  </w:r>
                  <w:r>
                    <w:rPr>
                      <w:rFonts w:ascii="仿宋_GB2312" w:hAnsi="仿宋_GB2312" w:cs="仿宋_GB2312" w:eastAsia="仿宋_GB2312"/>
                      <w:sz w:val="24"/>
                      <w:color w:val="000000"/>
                    </w:rPr>
                    <w:t>3N</w:t>
                  </w:r>
                  <w:r>
                    <w:rPr>
                      <w:rFonts w:ascii="仿宋_GB2312" w:hAnsi="仿宋_GB2312" w:cs="仿宋_GB2312" w:eastAsia="仿宋_GB2312"/>
                      <w:sz w:val="24"/>
                      <w:color w:val="000000"/>
                    </w:rPr>
                    <w:t>，横向</w:t>
                  </w:r>
                  <w:r>
                    <w:rPr>
                      <w:rFonts w:ascii="仿宋_GB2312" w:hAnsi="仿宋_GB2312" w:cs="仿宋_GB2312" w:eastAsia="仿宋_GB2312"/>
                      <w:sz w:val="24"/>
                      <w:color w:val="000000"/>
                    </w:rPr>
                    <w:t>≥1.</w:t>
                  </w:r>
                  <w:r>
                    <w:rPr>
                      <w:rFonts w:ascii="仿宋_GB2312" w:hAnsi="仿宋_GB2312" w:cs="仿宋_GB2312" w:eastAsia="仿宋_GB2312"/>
                      <w:sz w:val="24"/>
                      <w:color w:val="000000"/>
                    </w:rPr>
                    <w:t>4N。</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5</w:t>
                  </w:r>
                  <w:r>
                    <w:rPr>
                      <w:rFonts w:ascii="仿宋_GB2312" w:hAnsi="仿宋_GB2312" w:cs="仿宋_GB2312" w:eastAsia="仿宋_GB2312"/>
                      <w:sz w:val="24"/>
                      <w:b/>
                      <w:color w:val="000000"/>
                    </w:rPr>
                    <w:t>、</w:t>
                  </w:r>
                  <w:r>
                    <w:rPr>
                      <w:rFonts w:ascii="仿宋_GB2312" w:hAnsi="仿宋_GB2312" w:cs="仿宋_GB2312" w:eastAsia="仿宋_GB2312"/>
                      <w:sz w:val="24"/>
                      <w:color w:val="000000"/>
                    </w:rPr>
                    <w:t>使用后纵向及横向最大拉伸负荷不小于初始值的</w:t>
                  </w:r>
                  <w:r>
                    <w:rPr>
                      <w:rFonts w:ascii="仿宋_GB2312" w:hAnsi="仿宋_GB2312" w:cs="仿宋_GB2312" w:eastAsia="仿宋_GB2312"/>
                      <w:sz w:val="24"/>
                      <w:color w:val="000000"/>
                    </w:rPr>
                    <w:t>50%。</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6</w:t>
                  </w:r>
                  <w:r>
                    <w:rPr>
                      <w:rFonts w:ascii="仿宋_GB2312" w:hAnsi="仿宋_GB2312" w:cs="仿宋_GB2312" w:eastAsia="仿宋_GB2312"/>
                      <w:sz w:val="24"/>
                      <w:b/>
                      <w:color w:val="000000"/>
                    </w:rPr>
                    <w:t>、</w:t>
                  </w:r>
                  <w:r>
                    <w:rPr>
                      <w:rFonts w:ascii="仿宋_GB2312" w:hAnsi="仿宋_GB2312" w:cs="仿宋_GB2312" w:eastAsia="仿宋_GB2312"/>
                      <w:sz w:val="24"/>
                      <w:color w:val="000000"/>
                    </w:rPr>
                    <w:t>使用后纵向及横向断裂标称应变不小于初始值的</w:t>
                  </w:r>
                  <w:r>
                    <w:rPr>
                      <w:rFonts w:ascii="仿宋_GB2312" w:hAnsi="仿宋_GB2312" w:cs="仿宋_GB2312" w:eastAsia="仿宋_GB2312"/>
                      <w:sz w:val="24"/>
                      <w:color w:val="000000"/>
                    </w:rPr>
                    <w:t>50%。</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7</w:t>
                  </w:r>
                  <w:r>
                    <w:rPr>
                      <w:rFonts w:ascii="仿宋_GB2312" w:hAnsi="仿宋_GB2312" w:cs="仿宋_GB2312" w:eastAsia="仿宋_GB2312"/>
                      <w:sz w:val="24"/>
                      <w:b/>
                      <w:color w:val="000000"/>
                    </w:rPr>
                    <w:t>、</w:t>
                  </w:r>
                  <w:r>
                    <w:rPr>
                      <w:rFonts w:ascii="仿宋_GB2312" w:hAnsi="仿宋_GB2312" w:cs="仿宋_GB2312" w:eastAsia="仿宋_GB2312"/>
                      <w:sz w:val="24"/>
                      <w:color w:val="000000"/>
                    </w:rPr>
                    <w:t>使用后纵向及横向直角撕裂负荷不小于初始值的</w:t>
                  </w:r>
                  <w:r>
                    <w:rPr>
                      <w:rFonts w:ascii="仿宋_GB2312" w:hAnsi="仿宋_GB2312" w:cs="仿宋_GB2312" w:eastAsia="仿宋_GB2312"/>
                      <w:sz w:val="24"/>
                      <w:color w:val="000000"/>
                    </w:rPr>
                    <w:t>50%。</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8</w:t>
                  </w:r>
                  <w:r>
                    <w:rPr>
                      <w:rFonts w:ascii="仿宋_GB2312" w:hAnsi="仿宋_GB2312" w:cs="仿宋_GB2312" w:eastAsia="仿宋_GB2312"/>
                      <w:sz w:val="24"/>
                      <w:b/>
                      <w:color w:val="000000"/>
                    </w:rPr>
                    <w:t>、</w:t>
                  </w:r>
                  <w:r>
                    <w:rPr>
                      <w:rFonts w:ascii="仿宋_GB2312" w:hAnsi="仿宋_GB2312" w:cs="仿宋_GB2312" w:eastAsia="仿宋_GB2312"/>
                      <w:sz w:val="24"/>
                      <w:color w:val="000000"/>
                    </w:rPr>
                    <w:t>灰分＜</w:t>
                  </w:r>
                  <w:r>
                    <w:rPr>
                      <w:rFonts w:ascii="仿宋_GB2312" w:hAnsi="仿宋_GB2312" w:cs="仿宋_GB2312" w:eastAsia="仿宋_GB2312"/>
                      <w:sz w:val="24"/>
                      <w:color w:val="000000"/>
                    </w:rPr>
                    <w:t>0.5%</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9</w:t>
                  </w:r>
                  <w:r>
                    <w:rPr>
                      <w:rFonts w:ascii="仿宋_GB2312" w:hAnsi="仿宋_GB2312" w:cs="仿宋_GB2312" w:eastAsia="仿宋_GB2312"/>
                      <w:sz w:val="24"/>
                      <w:b/>
                      <w:color w:val="000000"/>
                    </w:rPr>
                    <w:t>、</w:t>
                  </w:r>
                  <w:r>
                    <w:rPr>
                      <w:rFonts w:ascii="仿宋_GB2312" w:hAnsi="仿宋_GB2312" w:cs="仿宋_GB2312" w:eastAsia="仿宋_GB2312"/>
                      <w:sz w:val="24"/>
                      <w:color w:val="000000"/>
                    </w:rPr>
                    <w:t>地膜不应有影响使用的气泡、杂质、条纹、穿孔、褶皱等缺陷</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10</w:t>
                  </w:r>
                  <w:r>
                    <w:rPr>
                      <w:rFonts w:ascii="仿宋_GB2312" w:hAnsi="仿宋_GB2312" w:cs="仿宋_GB2312" w:eastAsia="仿宋_GB2312"/>
                      <w:sz w:val="24"/>
                      <w:b/>
                      <w:color w:val="000000"/>
                    </w:rPr>
                    <w:t>、</w:t>
                  </w:r>
                  <w:r>
                    <w:rPr>
                      <w:rFonts w:ascii="仿宋_GB2312" w:hAnsi="仿宋_GB2312" w:cs="仿宋_GB2312" w:eastAsia="仿宋_GB2312"/>
                      <w:sz w:val="24"/>
                      <w:color w:val="000000"/>
                    </w:rPr>
                    <w:t>考虑到高强度加厚地膜依然存在地膜残留的情况，参考《全生物降解农用地面覆盖薄膜（</w:t>
                  </w:r>
                  <w:r>
                    <w:rPr>
                      <w:rFonts w:ascii="仿宋_GB2312" w:hAnsi="仿宋_GB2312" w:cs="仿宋_GB2312" w:eastAsia="仿宋_GB2312"/>
                      <w:sz w:val="24"/>
                      <w:color w:val="000000"/>
                    </w:rPr>
                    <w:t>GB/T 35795-2017）》，重金属含量：砷（As），mg/kg≤5；镉（Cd），mg/kg≤0.5；钴（Co），mg/kg≤38；铬（Cr），mg/kg≤50；铜（Cu），mg/kg≤50；镍（Ni），mg/kg≤25；钼（Mo），mg/kg≤1；铅（Pb），mg/kg≤50；硒（Se），mg/kg≤0.75；锌（Zn），mg/kg≤150；汞（Hg），mg/kg≤0.5；氟（F），mg/kg≤100</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11</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有效</w:t>
                  </w:r>
                  <w:r>
                    <w:rPr>
                      <w:rFonts w:ascii="仿宋_GB2312" w:hAnsi="仿宋_GB2312" w:cs="仿宋_GB2312" w:eastAsia="仿宋_GB2312"/>
                      <w:sz w:val="24"/>
                      <w:color w:val="000000"/>
                    </w:rPr>
                    <w:t>覆盖使用时间</w:t>
                  </w:r>
                  <w:r>
                    <w:rPr>
                      <w:rFonts w:ascii="仿宋_GB2312" w:hAnsi="仿宋_GB2312" w:cs="仿宋_GB2312" w:eastAsia="仿宋_GB2312"/>
                      <w:sz w:val="24"/>
                      <w:color w:val="000000"/>
                    </w:rPr>
                    <w:t>≥180天</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12</w:t>
                  </w:r>
                  <w:r>
                    <w:rPr>
                      <w:rFonts w:ascii="仿宋_GB2312" w:hAnsi="仿宋_GB2312" w:cs="仿宋_GB2312" w:eastAsia="仿宋_GB2312"/>
                      <w:sz w:val="24"/>
                      <w:b/>
                      <w:color w:val="000000"/>
                    </w:rPr>
                    <w:t>、</w:t>
                  </w:r>
                  <w:r>
                    <w:rPr>
                      <w:rFonts w:ascii="仿宋_GB2312" w:hAnsi="仿宋_GB2312" w:cs="仿宋_GB2312" w:eastAsia="仿宋_GB2312"/>
                      <w:sz w:val="24"/>
                      <w:color w:val="000000"/>
                    </w:rPr>
                    <w:t>产品原料中不含再生料及国家明确禁止使用、不利于作物生长和有害土壤的助剂</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13</w:t>
                  </w:r>
                  <w:r>
                    <w:rPr>
                      <w:rFonts w:ascii="仿宋_GB2312" w:hAnsi="仿宋_GB2312" w:cs="仿宋_GB2312" w:eastAsia="仿宋_GB2312"/>
                      <w:sz w:val="24"/>
                      <w:b/>
                      <w:color w:val="000000"/>
                    </w:rPr>
                    <w:t>、</w:t>
                  </w:r>
                  <w:r>
                    <w:rPr>
                      <w:rFonts w:ascii="仿宋_GB2312" w:hAnsi="仿宋_GB2312" w:cs="仿宋_GB2312" w:eastAsia="仿宋_GB2312"/>
                      <w:sz w:val="24"/>
                      <w:color w:val="000000"/>
                    </w:rPr>
                    <w:t>其他指标不低于《聚乙烯吹塑农用地面覆盖薄膜》</w:t>
                  </w:r>
                  <w:r>
                    <w:rPr>
                      <w:rFonts w:ascii="仿宋_GB2312" w:hAnsi="仿宋_GB2312" w:cs="仿宋_GB2312" w:eastAsia="仿宋_GB2312"/>
                      <w:sz w:val="24"/>
                      <w:color w:val="000000"/>
                    </w:rPr>
                    <w:t>GB13735-2017 标准，Ⅰ类地膜的性能指标要求</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b/>
                      <w:color w:val="000000"/>
                    </w:rPr>
                    <w:t>14</w:t>
                  </w:r>
                  <w:r>
                    <w:rPr>
                      <w:rFonts w:ascii="仿宋_GB2312" w:hAnsi="仿宋_GB2312" w:cs="仿宋_GB2312" w:eastAsia="仿宋_GB2312"/>
                      <w:sz w:val="24"/>
                      <w:b/>
                      <w:color w:val="000000"/>
                    </w:rPr>
                    <w:t>、</w:t>
                  </w:r>
                  <w:r>
                    <w:rPr>
                      <w:rFonts w:ascii="仿宋_GB2312" w:hAnsi="仿宋_GB2312" w:cs="仿宋_GB2312" w:eastAsia="仿宋_GB2312"/>
                      <w:sz w:val="24"/>
                      <w:color w:val="000000"/>
                    </w:rPr>
                    <w:t>每筒地膜均应附有产品合格证，内容至少包括：产品名称、类别、标称厚度、宽度、参考长度、净质量、生产日期、生产厂名称、生产厂地址、执行标准、检验员印章；产品合格证上应在明显的位置标有</w:t>
                  </w:r>
                  <w:r>
                    <w:rPr>
                      <w:rFonts w:ascii="仿宋_GB2312" w:hAnsi="仿宋_GB2312" w:cs="仿宋_GB2312" w:eastAsia="仿宋_GB2312"/>
                      <w:sz w:val="24"/>
                      <w:color w:val="000000"/>
                    </w:rPr>
                    <w:t>“使用后请回收利用，减少环境污染”的字样</w:t>
                  </w:r>
                  <w:r>
                    <w:rPr>
                      <w:rFonts w:ascii="仿宋_GB2312" w:hAnsi="仿宋_GB2312" w:cs="仿宋_GB2312" w:eastAsia="仿宋_GB2312"/>
                      <w:sz w:val="24"/>
                      <w:color w:val="000000"/>
                    </w:rPr>
                    <w:t>。</w:t>
                  </w:r>
                </w:p>
              </w:tc>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284</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吨</w:t>
                  </w:r>
                </w:p>
              </w:tc>
            </w:tr>
          </w:tbl>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上表中</w:t>
            </w:r>
            <w:r>
              <w:rPr>
                <w:rFonts w:ascii="仿宋_GB2312" w:hAnsi="仿宋_GB2312" w:cs="仿宋_GB2312" w:eastAsia="仿宋_GB2312"/>
                <w:sz w:val="24"/>
                <w:color w:val="000000"/>
              </w:rPr>
              <w:t>所列</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技术要求仅用作描述产品功能、性能，如与特定品牌型号相匹配不代表指向特定产品，投标人可理解为相当于或优于所设定的技术参数要求</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上表中</w:t>
            </w:r>
            <w:r>
              <w:rPr>
                <w:rFonts w:ascii="仿宋_GB2312" w:hAnsi="仿宋_GB2312" w:cs="仿宋_GB2312" w:eastAsia="仿宋_GB2312"/>
                <w:sz w:val="24"/>
                <w:color w:val="000000"/>
              </w:rPr>
              <w:t>带</w:t>
            </w:r>
            <w:r>
              <w:rPr>
                <w:rFonts w:ascii="仿宋_GB2312" w:hAnsi="仿宋_GB2312" w:cs="仿宋_GB2312" w:eastAsia="仿宋_GB2312"/>
                <w:sz w:val="24"/>
                <w:color w:val="000000"/>
              </w:rPr>
              <w:t>“★”</w:t>
            </w:r>
            <w:r>
              <w:rPr>
                <w:rFonts w:ascii="仿宋_GB2312" w:hAnsi="仿宋_GB2312" w:cs="仿宋_GB2312" w:eastAsia="仿宋_GB2312"/>
                <w:sz w:val="24"/>
                <w:color w:val="000000"/>
              </w:rPr>
              <w:t>项</w:t>
            </w:r>
            <w:r>
              <w:rPr>
                <w:rFonts w:ascii="仿宋_GB2312" w:hAnsi="仿宋_GB2312" w:cs="仿宋_GB2312" w:eastAsia="仿宋_GB2312"/>
                <w:sz w:val="24"/>
                <w:color w:val="000000"/>
              </w:rPr>
              <w:t>标识的</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技术参数要求为实质性要求，投标人必须响应并满足该参数要求，不允许负偏离。</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上表中</w:t>
            </w:r>
            <w:r>
              <w:rPr>
                <w:rFonts w:ascii="仿宋_GB2312" w:hAnsi="仿宋_GB2312" w:cs="仿宋_GB2312" w:eastAsia="仿宋_GB2312"/>
                <w:sz w:val="24"/>
                <w:color w:val="000000"/>
              </w:rPr>
              <w:t>带</w:t>
            </w:r>
            <w:r>
              <w:rPr>
                <w:rFonts w:ascii="仿宋_GB2312" w:hAnsi="仿宋_GB2312" w:cs="仿宋_GB2312" w:eastAsia="仿宋_GB2312"/>
                <w:sz w:val="24"/>
                <w:color w:val="000000"/>
              </w:rPr>
              <w:t>“▲”</w:t>
            </w:r>
            <w:r>
              <w:rPr>
                <w:rFonts w:ascii="仿宋_GB2312" w:hAnsi="仿宋_GB2312" w:cs="仿宋_GB2312" w:eastAsia="仿宋_GB2312"/>
                <w:sz w:val="24"/>
                <w:color w:val="000000"/>
              </w:rPr>
              <w:t>项</w:t>
            </w:r>
            <w:r>
              <w:rPr>
                <w:rFonts w:ascii="仿宋_GB2312" w:hAnsi="仿宋_GB2312" w:cs="仿宋_GB2312" w:eastAsia="仿宋_GB2312"/>
                <w:sz w:val="24"/>
                <w:color w:val="000000"/>
              </w:rPr>
              <w:t>标识的</w:t>
            </w:r>
            <w:r>
              <w:rPr>
                <w:rFonts w:ascii="仿宋_GB2312" w:hAnsi="仿宋_GB2312" w:cs="仿宋_GB2312" w:eastAsia="仿宋_GB2312"/>
                <w:sz w:val="24"/>
                <w:color w:val="000000"/>
              </w:rPr>
              <w:t>产品</w:t>
            </w:r>
            <w:r>
              <w:rPr>
                <w:rFonts w:ascii="仿宋_GB2312" w:hAnsi="仿宋_GB2312" w:cs="仿宋_GB2312" w:eastAsia="仿宋_GB2312"/>
                <w:sz w:val="24"/>
                <w:color w:val="000000"/>
              </w:rPr>
              <w:t>技术参数要求为重要参数要求，投标人</w:t>
            </w:r>
            <w:r>
              <w:rPr>
                <w:rFonts w:ascii="仿宋_GB2312" w:hAnsi="仿宋_GB2312" w:cs="仿宋_GB2312" w:eastAsia="仿宋_GB2312"/>
                <w:sz w:val="24"/>
                <w:color w:val="000000"/>
              </w:rPr>
              <w:t>投标时需</w:t>
            </w:r>
            <w:r>
              <w:rPr>
                <w:rFonts w:ascii="仿宋_GB2312" w:hAnsi="仿宋_GB2312" w:cs="仿宋_GB2312" w:eastAsia="仿宋_GB2312"/>
                <w:sz w:val="24"/>
                <w:color w:val="000000"/>
              </w:rPr>
              <w:t>提供带有</w:t>
            </w:r>
            <w:r>
              <w:rPr>
                <w:rFonts w:ascii="仿宋_GB2312" w:hAnsi="仿宋_GB2312" w:cs="仿宋_GB2312" w:eastAsia="仿宋_GB2312"/>
                <w:sz w:val="24"/>
                <w:color w:val="000000"/>
              </w:rPr>
              <w:t>CMA或CNAS标志的第三方</w:t>
            </w:r>
            <w:r>
              <w:rPr>
                <w:rFonts w:ascii="仿宋_GB2312" w:hAnsi="仿宋_GB2312" w:cs="仿宋_GB2312" w:eastAsia="仿宋_GB2312"/>
                <w:sz w:val="24"/>
                <w:color w:val="000000"/>
              </w:rPr>
              <w:t>检验（</w:t>
            </w:r>
            <w:r>
              <w:rPr>
                <w:rFonts w:ascii="仿宋_GB2312" w:hAnsi="仿宋_GB2312" w:cs="仿宋_GB2312" w:eastAsia="仿宋_GB2312"/>
                <w:sz w:val="24"/>
                <w:color w:val="000000"/>
              </w:rPr>
              <w:t>检测</w:t>
            </w:r>
            <w:r>
              <w:rPr>
                <w:rFonts w:ascii="仿宋_GB2312" w:hAnsi="仿宋_GB2312" w:cs="仿宋_GB2312" w:eastAsia="仿宋_GB2312"/>
                <w:sz w:val="24"/>
                <w:color w:val="000000"/>
              </w:rPr>
              <w:t>）</w:t>
            </w:r>
            <w:r>
              <w:rPr>
                <w:rFonts w:ascii="仿宋_GB2312" w:hAnsi="仿宋_GB2312" w:cs="仿宋_GB2312" w:eastAsia="仿宋_GB2312"/>
                <w:sz w:val="24"/>
                <w:color w:val="000000"/>
              </w:rPr>
              <w:t>报告作为佐证</w:t>
            </w:r>
            <w:r>
              <w:rPr>
                <w:rFonts w:ascii="仿宋_GB2312" w:hAnsi="仿宋_GB2312" w:cs="仿宋_GB2312" w:eastAsia="仿宋_GB2312"/>
                <w:sz w:val="24"/>
                <w:color w:val="000000"/>
              </w:rPr>
              <w:t>，</w:t>
            </w:r>
            <w:r>
              <w:rPr>
                <w:rFonts w:ascii="仿宋_GB2312" w:hAnsi="仿宋_GB2312" w:cs="仿宋_GB2312" w:eastAsia="仿宋_GB2312"/>
                <w:sz w:val="24"/>
                <w:color w:val="000000"/>
              </w:rPr>
              <w:t>检验（</w:t>
            </w:r>
            <w:r>
              <w:rPr>
                <w:rFonts w:ascii="仿宋_GB2312" w:hAnsi="仿宋_GB2312" w:cs="仿宋_GB2312" w:eastAsia="仿宋_GB2312"/>
                <w:sz w:val="24"/>
                <w:color w:val="000000"/>
              </w:rPr>
              <w:t>检测</w:t>
            </w:r>
            <w:r>
              <w:rPr>
                <w:rFonts w:ascii="仿宋_GB2312" w:hAnsi="仿宋_GB2312" w:cs="仿宋_GB2312" w:eastAsia="仿宋_GB2312"/>
                <w:sz w:val="24"/>
                <w:color w:val="000000"/>
              </w:rPr>
              <w:t>）</w:t>
            </w:r>
            <w:r>
              <w:rPr>
                <w:rFonts w:ascii="仿宋_GB2312" w:hAnsi="仿宋_GB2312" w:cs="仿宋_GB2312" w:eastAsia="仿宋_GB2312"/>
                <w:sz w:val="24"/>
                <w:color w:val="000000"/>
              </w:rPr>
              <w:t>报告原件在中标后签订合同时原件备查）</w:t>
            </w:r>
            <w:r>
              <w:rPr>
                <w:rFonts w:ascii="仿宋_GB2312" w:hAnsi="仿宋_GB2312" w:cs="仿宋_GB2312" w:eastAsia="仿宋_GB2312"/>
                <w:sz w:val="24"/>
                <w:color w:val="000000"/>
              </w:rPr>
              <w:t>，若</w:t>
            </w:r>
            <w:r>
              <w:rPr>
                <w:rFonts w:ascii="仿宋_GB2312" w:hAnsi="仿宋_GB2312" w:cs="仿宋_GB2312" w:eastAsia="仿宋_GB2312"/>
                <w:sz w:val="24"/>
                <w:color w:val="000000"/>
              </w:rPr>
              <w:t>未响应或者不满足，将在综合评审中予以扣分处理。</w:t>
            </w:r>
          </w:p>
          <w:p>
            <w:pPr>
              <w:pStyle w:val="null3"/>
              <w:jc w:val="left"/>
            </w:pPr>
            <w:r>
              <w:rPr>
                <w:rFonts w:ascii="仿宋_GB2312" w:hAnsi="仿宋_GB2312" w:cs="仿宋_GB2312" w:eastAsia="仿宋_GB2312"/>
                <w:sz w:val="24"/>
                <w:color w:val="000000"/>
              </w:rPr>
              <w:t xml:space="preserve">  4、上表中“产品技术参数要求”要求提供证明材料的以证明材料要求为准，未要求提供证明材料的以响应为准。</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服务内容及要求</w:t>
            </w:r>
          </w:p>
        </w:tc>
        <w:tc>
          <w:tcPr>
            <w:tcW w:type="dxa" w:w="5814"/>
          </w:tcPr>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推广使用</w:t>
            </w:r>
            <w:r>
              <w:rPr>
                <w:rFonts w:ascii="仿宋_GB2312" w:hAnsi="仿宋_GB2312" w:cs="仿宋_GB2312" w:eastAsia="仿宋_GB2312"/>
                <w:sz w:val="24"/>
                <w:color w:val="000000"/>
              </w:rPr>
              <w:t>0.015毫米</w:t>
            </w:r>
            <w:r>
              <w:rPr>
                <w:rFonts w:ascii="仿宋_GB2312" w:hAnsi="仿宋_GB2312" w:cs="仿宋_GB2312" w:eastAsia="仿宋_GB2312"/>
                <w:sz w:val="24"/>
                <w:color w:val="000000"/>
              </w:rPr>
              <w:t>（</w:t>
            </w:r>
            <w:r>
              <w:rPr>
                <w:rFonts w:ascii="仿宋_GB2312" w:hAnsi="仿宋_GB2312" w:cs="仿宋_GB2312" w:eastAsia="仿宋_GB2312"/>
                <w:sz w:val="24"/>
                <w:color w:val="000000"/>
              </w:rPr>
              <w:t>极限偏差</w:t>
            </w:r>
            <w:r>
              <w:rPr>
                <w:rFonts w:ascii="仿宋_GB2312" w:hAnsi="仿宋_GB2312" w:cs="仿宋_GB2312" w:eastAsia="仿宋_GB2312"/>
                <w:sz w:val="24"/>
                <w:color w:val="000000"/>
              </w:rPr>
              <w:t>-0.003mm ～+0.004mm，平均厚度偏差-12%～+15%</w:t>
            </w:r>
            <w:r>
              <w:rPr>
                <w:rFonts w:ascii="仿宋_GB2312" w:hAnsi="仿宋_GB2312" w:cs="仿宋_GB2312" w:eastAsia="仿宋_GB2312"/>
                <w:sz w:val="24"/>
                <w:color w:val="000000"/>
              </w:rPr>
              <w:t>）</w:t>
            </w:r>
            <w:r>
              <w:rPr>
                <w:rFonts w:ascii="仿宋_GB2312" w:hAnsi="仿宋_GB2312" w:cs="仿宋_GB2312" w:eastAsia="仿宋_GB2312"/>
                <w:sz w:val="24"/>
                <w:color w:val="000000"/>
              </w:rPr>
              <w:t>的</w:t>
            </w:r>
            <w:r>
              <w:rPr>
                <w:rFonts w:ascii="仿宋_GB2312" w:hAnsi="仿宋_GB2312" w:cs="仿宋_GB2312" w:eastAsia="仿宋_GB2312"/>
                <w:sz w:val="24"/>
                <w:color w:val="000000"/>
              </w:rPr>
              <w:t>加厚高强度地膜</w:t>
            </w:r>
            <w:r>
              <w:rPr>
                <w:rFonts w:ascii="仿宋_GB2312" w:hAnsi="仿宋_GB2312" w:cs="仿宋_GB2312" w:eastAsia="仿宋_GB2312"/>
                <w:sz w:val="24"/>
                <w:color w:val="000000"/>
              </w:rPr>
              <w:t>18万亩，主要用于中药材及粮蔬等经济作物。根据不同作物特性，采用不同类型的地膜。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1）粮蔬采用两种类型的地膜：①银灰双色地膜覆盖面积2.5万亩，</w:t>
            </w:r>
            <w:r>
              <w:rPr>
                <w:rFonts w:ascii="仿宋_GB2312" w:hAnsi="仿宋_GB2312" w:cs="仿宋_GB2312" w:eastAsia="仿宋_GB2312"/>
                <w:sz w:val="24"/>
                <w:color w:val="000000"/>
              </w:rPr>
              <w:t>共计使用地膜</w:t>
            </w:r>
            <w:r>
              <w:rPr>
                <w:rFonts w:ascii="仿宋_GB2312" w:hAnsi="仿宋_GB2312" w:cs="仿宋_GB2312" w:eastAsia="仿宋_GB2312"/>
                <w:sz w:val="24"/>
                <w:color w:val="000000"/>
              </w:rPr>
              <w:t>37.5吨；②黑膜覆盖面积8.1万亩</w:t>
            </w:r>
            <w:r>
              <w:rPr>
                <w:rFonts w:ascii="仿宋_GB2312" w:hAnsi="仿宋_GB2312" w:cs="仿宋_GB2312" w:eastAsia="仿宋_GB2312"/>
                <w:sz w:val="24"/>
                <w:color w:val="000000"/>
              </w:rPr>
              <w:t>，共计使用地膜</w:t>
            </w:r>
            <w:r>
              <w:rPr>
                <w:rFonts w:ascii="仿宋_GB2312" w:hAnsi="仿宋_GB2312" w:cs="仿宋_GB2312" w:eastAsia="仿宋_GB2312"/>
                <w:sz w:val="24"/>
                <w:color w:val="000000"/>
              </w:rPr>
              <w:t>129.6吨。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2）食用菌采用银黑双色地膜覆盖面积1.5万亩</w:t>
            </w:r>
            <w:r>
              <w:rPr>
                <w:rFonts w:ascii="仿宋_GB2312" w:hAnsi="仿宋_GB2312" w:cs="仿宋_GB2312" w:eastAsia="仿宋_GB2312"/>
                <w:sz w:val="24"/>
                <w:color w:val="000000"/>
              </w:rPr>
              <w:t>，共计使用地膜</w:t>
            </w:r>
            <w:r>
              <w:rPr>
                <w:rFonts w:ascii="仿宋_GB2312" w:hAnsi="仿宋_GB2312" w:cs="仿宋_GB2312" w:eastAsia="仿宋_GB2312"/>
                <w:sz w:val="24"/>
                <w:color w:val="000000"/>
              </w:rPr>
              <w:t>22.5吨。</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3）中药材采用黑膜，覆盖面积5.9万亩</w:t>
            </w:r>
            <w:r>
              <w:rPr>
                <w:rFonts w:ascii="仿宋_GB2312" w:hAnsi="仿宋_GB2312" w:cs="仿宋_GB2312" w:eastAsia="仿宋_GB2312"/>
                <w:sz w:val="24"/>
                <w:color w:val="000000"/>
              </w:rPr>
              <w:t>，共计使用地膜</w:t>
            </w:r>
            <w:r>
              <w:rPr>
                <w:rFonts w:ascii="仿宋_GB2312" w:hAnsi="仿宋_GB2312" w:cs="仿宋_GB2312" w:eastAsia="仿宋_GB2312"/>
                <w:sz w:val="24"/>
                <w:color w:val="000000"/>
              </w:rPr>
              <w:t>94.4吨。</w:t>
            </w:r>
          </w:p>
          <w:p>
            <w:pPr>
              <w:pStyle w:val="null3"/>
              <w:ind w:firstLine="480"/>
              <w:jc w:val="left"/>
            </w:pPr>
            <w:r>
              <w:rPr>
                <w:rFonts w:ascii="仿宋_GB2312" w:hAnsi="仿宋_GB2312" w:cs="仿宋_GB2312" w:eastAsia="仿宋_GB2312"/>
                <w:sz w:val="24"/>
                <w:color w:val="000000"/>
              </w:rPr>
              <w:t>2、健全废旧农膜回收利用体系。</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1）网点建设。全</w:t>
            </w:r>
            <w:r>
              <w:rPr>
                <w:rFonts w:ascii="仿宋_GB2312" w:hAnsi="仿宋_GB2312" w:cs="仿宋_GB2312" w:eastAsia="仿宋_GB2312"/>
                <w:sz w:val="24"/>
                <w:color w:val="000000"/>
              </w:rPr>
              <w:t>区</w:t>
            </w:r>
            <w:r>
              <w:rPr>
                <w:rFonts w:ascii="仿宋_GB2312" w:hAnsi="仿宋_GB2312" w:cs="仿宋_GB2312" w:eastAsia="仿宋_GB2312"/>
                <w:sz w:val="24"/>
                <w:color w:val="000000"/>
              </w:rPr>
              <w:t>域范围覆盖，每个乡镇建设和完善</w:t>
            </w:r>
            <w:r>
              <w:rPr>
                <w:rFonts w:ascii="仿宋_GB2312" w:hAnsi="仿宋_GB2312" w:cs="仿宋_GB2312" w:eastAsia="仿宋_GB2312"/>
                <w:sz w:val="24"/>
                <w:color w:val="000000"/>
              </w:rPr>
              <w:t>1个回收网点，共计9个，每个网点均需配置回收人员2～3</w:t>
            </w:r>
            <w:r>
              <w:rPr>
                <w:rFonts w:ascii="仿宋_GB2312" w:hAnsi="仿宋_GB2312" w:cs="仿宋_GB2312" w:eastAsia="仿宋_GB2312"/>
                <w:sz w:val="24"/>
                <w:color w:val="000000"/>
              </w:rPr>
              <w:t>名，租赁网点用地（不小于</w:t>
            </w:r>
            <w:r>
              <w:rPr>
                <w:rFonts w:ascii="仿宋_GB2312" w:hAnsi="仿宋_GB2312" w:cs="仿宋_GB2312" w:eastAsia="仿宋_GB2312"/>
                <w:sz w:val="24"/>
                <w:color w:val="000000"/>
              </w:rPr>
              <w:t>4㎡）、物品配置（采购回收网点需求物资：如电子秤、收纳桶、防雨幕布、桌椅等）。在沙湾区城区范围内临时租赁仓库（面积不小于100㎡）临时堆放回收的废旧农膜。</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2）第三方机构处置。对用户上交到回收网</w:t>
            </w:r>
            <w:r>
              <w:rPr>
                <w:rFonts w:ascii="仿宋_GB2312" w:hAnsi="仿宋_GB2312" w:cs="仿宋_GB2312" w:eastAsia="仿宋_GB2312"/>
                <w:sz w:val="24"/>
                <w:color w:val="000000"/>
              </w:rPr>
              <w:t>点经过清理后的废旧地膜，由中标人交由具有相应营业范围的第三方机构处置，预计处置</w:t>
            </w:r>
            <w:r>
              <w:rPr>
                <w:rFonts w:ascii="仿宋_GB2312" w:hAnsi="仿宋_GB2312" w:cs="仿宋_GB2312" w:eastAsia="仿宋_GB2312"/>
                <w:sz w:val="24"/>
                <w:color w:val="000000"/>
              </w:rPr>
              <w:t>284吨，采购人不再支付其他任何费用。</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3）地膜残留监测。开展地膜残留监测，按照每1万亩设置一个监测点的原则，全</w:t>
            </w:r>
            <w:r>
              <w:rPr>
                <w:rFonts w:ascii="仿宋_GB2312" w:hAnsi="仿宋_GB2312" w:cs="仿宋_GB2312" w:eastAsia="仿宋_GB2312"/>
                <w:sz w:val="24"/>
                <w:color w:val="000000"/>
              </w:rPr>
              <w:t>区</w:t>
            </w:r>
            <w:r>
              <w:rPr>
                <w:rFonts w:ascii="仿宋_GB2312" w:hAnsi="仿宋_GB2312" w:cs="仿宋_GB2312" w:eastAsia="仿宋_GB2312"/>
                <w:sz w:val="24"/>
                <w:color w:val="000000"/>
              </w:rPr>
              <w:t>共设置</w:t>
            </w:r>
            <w:r>
              <w:rPr>
                <w:rFonts w:ascii="仿宋_GB2312" w:hAnsi="仿宋_GB2312" w:cs="仿宋_GB2312" w:eastAsia="仿宋_GB2312"/>
                <w:sz w:val="24"/>
                <w:color w:val="000000"/>
              </w:rPr>
              <w:t>18个，监测指标主要为田块地膜残留量、使用量、覆盖年限、回收量、回收方式等，及时掌握区域污染动态变化，科学评价区域污染状况与治理成效。最终形成1份沙湾区地膜残留监测报告（含18个监测点的地膜残留检测报告及残留情况分析）。</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4）地膜覆盖应用评价。进行加厚高强度地膜覆盖应用评价，全</w:t>
            </w:r>
            <w:r>
              <w:rPr>
                <w:rFonts w:ascii="仿宋_GB2312" w:hAnsi="仿宋_GB2312" w:cs="仿宋_GB2312" w:eastAsia="仿宋_GB2312"/>
                <w:sz w:val="24"/>
                <w:color w:val="000000"/>
              </w:rPr>
              <w:t>区</w:t>
            </w:r>
            <w:r>
              <w:rPr>
                <w:rFonts w:ascii="仿宋_GB2312" w:hAnsi="仿宋_GB2312" w:cs="仿宋_GB2312" w:eastAsia="仿宋_GB2312"/>
                <w:sz w:val="24"/>
                <w:color w:val="000000"/>
              </w:rPr>
              <w:t>共开展</w:t>
            </w:r>
            <w:r>
              <w:rPr>
                <w:rFonts w:ascii="仿宋_GB2312" w:hAnsi="仿宋_GB2312" w:cs="仿宋_GB2312" w:eastAsia="仿宋_GB2312"/>
                <w:sz w:val="24"/>
                <w:color w:val="000000"/>
              </w:rPr>
              <w:t>3个。</w:t>
            </w:r>
          </w:p>
          <w:p>
            <w:pPr>
              <w:pStyle w:val="null3"/>
              <w:ind w:firstLine="480"/>
              <w:jc w:val="both"/>
            </w:pPr>
            <w:r>
              <w:rPr>
                <w:rFonts w:ascii="仿宋_GB2312" w:hAnsi="仿宋_GB2312" w:cs="仿宋_GB2312" w:eastAsia="仿宋_GB2312"/>
                <w:sz w:val="24"/>
                <w:color w:val="000000"/>
              </w:rPr>
              <w:t>针对区域内主要覆膜作物，全区开展</w:t>
            </w:r>
            <w:r>
              <w:rPr>
                <w:rFonts w:ascii="仿宋_GB2312" w:hAnsi="仿宋_GB2312" w:cs="仿宋_GB2312" w:eastAsia="仿宋_GB2312"/>
                <w:sz w:val="24"/>
                <w:color w:val="000000"/>
              </w:rPr>
              <w:t>3个加厚高强度地膜应用评价。承包3处耕地，每处分成5个试验区（分别采用农户常用地膜、两种品牌的高强度加厚地膜（厚度规格分别为0.015mm及0.020mm）进行对比试验。对地膜物理性能指标（厚度、强度及耐候性能）、增温保墒性能、早熟情况、作物产量情况及回收情况等进行评价。最</w:t>
            </w:r>
            <w:r>
              <w:rPr>
                <w:rFonts w:ascii="仿宋_GB2312" w:hAnsi="仿宋_GB2312" w:cs="仿宋_GB2312" w:eastAsia="仿宋_GB2312"/>
                <w:sz w:val="24"/>
                <w:color w:val="000000"/>
              </w:rPr>
              <w:t>终向</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主提供</w:t>
            </w:r>
            <w:r>
              <w:rPr>
                <w:rFonts w:ascii="仿宋_GB2312" w:hAnsi="仿宋_GB2312" w:cs="仿宋_GB2312" w:eastAsia="仿宋_GB2312"/>
                <w:sz w:val="24"/>
                <w:color w:val="000000"/>
              </w:rPr>
              <w:t>3个评</w:t>
            </w:r>
            <w:r>
              <w:rPr>
                <w:rFonts w:ascii="仿宋_GB2312" w:hAnsi="仿宋_GB2312" w:cs="仿宋_GB2312" w:eastAsia="仿宋_GB2312"/>
                <w:sz w:val="24"/>
                <w:color w:val="000000"/>
              </w:rPr>
              <w:t>价点的地膜应用评价报告。</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宣传培训。采取印发资料、悬挂横幅、开展集中培训宣传、进村入户等方式开展宣传，组织开展技术培训和指导服务，交流加厚高强度地膜在作物栽培上的成效和经验。含1次县级技术培训、9次乡镇级技术指导（每个乡镇各1次）及地膜科学利用回收宣传手册不少于1000份。</w:t>
            </w:r>
          </w:p>
          <w:p>
            <w:pPr>
              <w:pStyle w:val="null3"/>
              <w:ind w:firstLine="480"/>
              <w:jc w:val="left"/>
            </w:pP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售后服务要求</w:t>
            </w:r>
          </w:p>
        </w:tc>
        <w:tc>
          <w:tcPr>
            <w:tcW w:type="dxa" w:w="5814"/>
          </w:tcPr>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应有完善的技术支持与服务体系，专人负责与采购人联系技术服务事宜，并安排土壤修复类技术专家到现场进行项目实施指导、培训。</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针对本项目向采购人提供现场培训服务，培训人数和地点由招标人指定，并在培训后提供技术咨询服务。针对现场培训服务和技术咨询服务所产生的费用由中标人承担。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3）技术服务过程中，严格按照</w:t>
            </w:r>
            <w:r>
              <w:rPr>
                <w:rFonts w:ascii="仿宋_GB2312" w:hAnsi="仿宋_GB2312" w:cs="仿宋_GB2312" w:eastAsia="仿宋_GB2312"/>
                <w:sz w:val="24"/>
                <w:color w:val="000000"/>
              </w:rPr>
              <w:t>招标</w:t>
            </w:r>
            <w:r>
              <w:rPr>
                <w:rFonts w:ascii="仿宋_GB2312" w:hAnsi="仿宋_GB2312" w:cs="仿宋_GB2312" w:eastAsia="仿宋_GB2312"/>
                <w:sz w:val="24"/>
                <w:color w:val="000000"/>
              </w:rPr>
              <w:t>文件要求的技术规程及《</w:t>
            </w:r>
            <w:r>
              <w:rPr>
                <w:rFonts w:ascii="仿宋_GB2312" w:hAnsi="仿宋_GB2312" w:cs="仿宋_GB2312" w:eastAsia="仿宋_GB2312"/>
                <w:sz w:val="24"/>
                <w:color w:val="000000"/>
              </w:rPr>
              <w:t>2024年四川省地膜科学使用回收项目实施方案》执行，及时更新完善项目实施档案（工作台账）。</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自合同签订之日起365日内完成。</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乐山市沙湾区</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严格按照《财政部关于进一步加强政府采购需求和履约验收管理的指导意见》(财库〔2016〕205 号)和《乐山市财政局关于沿用乐山市政府采购项目需求论证和履约验收管理实施细则的通知》（乐市财政采〔2021〕8号）的要求及国家行业主管部门规定的标准、方法和内容进行验收。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1、合同签订生效后，达到付款条件起30日内，支付合同总金额的30.00%</w:t>
            </w:r>
          </w:p>
          <w:p>
            <w:pPr>
              <w:pStyle w:val="null3"/>
              <w:jc w:val="left"/>
            </w:pPr>
            <w:r>
              <w:rPr>
                <w:rFonts w:ascii="仿宋_GB2312" w:hAnsi="仿宋_GB2312" w:cs="仿宋_GB2312" w:eastAsia="仿宋_GB2312"/>
              </w:rPr>
              <w:t>2、中标人根据合同约定向采购人提供首批地膜（总地膜用量30%=85.2吨）后，达到付款条件起30日内，支付合同总金额的30.00%</w:t>
            </w:r>
          </w:p>
          <w:p>
            <w:pPr>
              <w:pStyle w:val="null3"/>
              <w:jc w:val="left"/>
            </w:pPr>
            <w:r>
              <w:rPr>
                <w:rFonts w:ascii="仿宋_GB2312" w:hAnsi="仿宋_GB2312" w:cs="仿宋_GB2312" w:eastAsia="仿宋_GB2312"/>
              </w:rPr>
              <w:t>3、中标人根据合同约定向采购人提供全部地膜(共计284吨)后，达到付款条件起30日内，支付合同总金额的30.00%</w:t>
            </w:r>
          </w:p>
          <w:p>
            <w:pPr>
              <w:pStyle w:val="null3"/>
              <w:jc w:val="left"/>
            </w:pPr>
            <w:r>
              <w:rPr>
                <w:rFonts w:ascii="仿宋_GB2312" w:hAnsi="仿宋_GB2312" w:cs="仿宋_GB2312" w:eastAsia="仿宋_GB2312"/>
              </w:rPr>
              <w:t>4、本项目竣工验收完毕后，达到付款条件起30日内，支付合同总金额的10.00%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按照合同约定执行。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1、在采购文件中没有提及的与本项目履约切实相关的事宜，采购人与中标人双方应根据本采购项目的特点，在不违背采购文件要求、报价承诺的原则下，就具体条款在本项目政府采购合同中进行详细约定。 2、投标人应根据自身实际情况配备专业的人员为本项目提供服务。 3、投标人应根据项目服务内容及要提供服务方案及后续服务方案。 4、投标人应根据自身实际情况提供类似项目业绩。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提供截至提交投标文件截止之日前一年内，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服务要求</w:t>
            </w:r>
          </w:p>
        </w:tc>
        <w:tc>
          <w:tcPr>
            <w:tcW w:type="dxa" w:w="3322"/>
          </w:tcPr>
          <w:p>
            <w:pPr>
              <w:pStyle w:val="null3"/>
              <w:jc w:val="left"/>
            </w:pPr>
            <w:r>
              <w:rPr>
                <w:rFonts w:ascii="仿宋_GB2312" w:hAnsi="仿宋_GB2312" w:cs="仿宋_GB2312" w:eastAsia="仿宋_GB2312"/>
              </w:rPr>
              <w:t>投标人需在使用投标(响应)客户端编制投标文件时，按“第三章3. 3服务要求”按其顺序对应列入此表进行应答， 并进行电子签章。</w:t>
            </w:r>
          </w:p>
        </w:tc>
        <w:tc>
          <w:tcPr>
            <w:tcW w:type="dxa" w:w="1910"/>
          </w:tcPr>
          <w:p>
            <w:pPr>
              <w:pStyle w:val="null3"/>
              <w:jc w:val="left"/>
            </w:pPr>
            <w:r>
              <w:rPr>
                <w:rFonts w:ascii="仿宋_GB2312" w:hAnsi="仿宋_GB2312" w:cs="仿宋_GB2312" w:eastAsia="仿宋_GB2312"/>
              </w:rPr>
              <w:t>服务应答表</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技术要求及响应</w:t>
            </w:r>
          </w:p>
        </w:tc>
        <w:tc>
          <w:tcPr>
            <w:tcW w:type="dxa" w:w="2575"/>
          </w:tcPr>
          <w:p>
            <w:pPr>
              <w:pStyle w:val="null3"/>
              <w:jc w:val="left"/>
            </w:pPr>
            <w:r>
              <w:rPr>
                <w:rFonts w:ascii="仿宋_GB2312" w:hAnsi="仿宋_GB2312" w:cs="仿宋_GB2312" w:eastAsia="仿宋_GB2312"/>
              </w:rPr>
              <w:t>投标人的产品技术参数要求及响应根据以下情况进行评分： 1、完全符合招标文件“产品技术参数要求”的得18分； 2、带“▲”项产品技术参数每有一项负偏离或不满足的扣2分（共计9项），扣完为止。 注： 1、产品技术参数要求中要求提供证明材料的以证明材料要求为准； 2、产品技术参数项数以产品技术参数要求中明确的阿拉伯数字“1、2、3...... 10”为准。</w:t>
            </w:r>
          </w:p>
        </w:tc>
        <w:tc>
          <w:tcPr>
            <w:tcW w:type="dxa" w:w="831"/>
          </w:tcPr>
          <w:p>
            <w:pPr>
              <w:pStyle w:val="null3"/>
              <w:jc w:val="center"/>
            </w:pPr>
            <w:r>
              <w:rPr>
                <w:rFonts w:ascii="仿宋_GB2312" w:hAnsi="仿宋_GB2312" w:cs="仿宋_GB2312" w:eastAsia="仿宋_GB2312"/>
              </w:rPr>
              <w:t>18.0000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技术要求应答表.docx</w:t>
            </w:r>
          </w:p>
        </w:tc>
      </w:tr>
      <w:tr>
        <w:tc>
          <w:tcPr>
            <w:tcW w:type="dxa" w:w="831"/>
            <w:vMerge/>
          </w:tcP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根据投标人针对本项目所提供的服务方案进行评审，内容包含但不限于：①项目前期准备工作；②地膜发放保障措施；③地膜使用保障措施；④服务质量保障措施；⑤服务进度计划及保障措施；⑥技术培训方案；⑦地膜回收体系建设方案；⑧回收地膜的处理工艺及再利用；⑨地膜残留监测实施方案；⑩服务承诺等；以上十项内容均有体现，满足采购实际需求的得40分；每有一项内容缺失扣4分；每有一项内容存在缺陷或者不能完全符合本项目要求的扣2分，扣完为止；本项满分为40分，未提供服务方案的则不得分。 注：“存在缺陷”指前后内容无法连贯、存在前后不一致，错用无关内容、有歧义、与本项目实际不相符，项目名称、实施地点、实施进度与本项目不相符，不符合本项目涉及的要求的任意一种情形。</w:t>
            </w:r>
          </w:p>
        </w:tc>
        <w:tc>
          <w:tcPr>
            <w:tcW w:type="dxa" w:w="831"/>
          </w:tcPr>
          <w:p>
            <w:pPr>
              <w:pStyle w:val="null3"/>
              <w:jc w:val="center"/>
            </w:pPr>
            <w:r>
              <w:rPr>
                <w:rFonts w:ascii="仿宋_GB2312" w:hAnsi="仿宋_GB2312" w:cs="仿宋_GB2312" w:eastAsia="仿宋_GB2312"/>
              </w:rPr>
              <w:t>40.0000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其他材料.docx</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575"/>
          </w:tcPr>
          <w:p>
            <w:pPr>
              <w:pStyle w:val="null3"/>
              <w:jc w:val="left"/>
            </w:pPr>
            <w:r>
              <w:rPr>
                <w:rFonts w:ascii="仿宋_GB2312" w:hAnsi="仿宋_GB2312" w:cs="仿宋_GB2312" w:eastAsia="仿宋_GB2312"/>
              </w:rPr>
              <w:t>根据投标人针对本项目所提供的后续服务方案进行评审，内容包含但不限于：①后续服务体系建设；②后续服务团队建设；③地膜使用指导与技术支持；④应急预案；⑤安全保障等；以上五项内容均有体现，满足采购实际需求的得15分；每有一项内容缺失扣3分；每有一项内容存在缺陷或者不能完全符合本项目要求的扣1.5分，扣完为止；本项满分为15分，未提供后续服务方案的则不得分。 注：“存在缺陷”指前后内容无法连贯、存在前后不一致，错用无关内容、有歧义、与本项目实际不相符，项目名称、实施地点、实施进度与本项目不相符，不符合本项目涉及的要求的任意一种情形。</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其他材料.docx</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投标人拟投入本项目的人员中，根据以下情况进行评分： 1.项目负责人（1人）：具有环境类或农业类相关专业高级及以上职称的得3分，中级职称的得2分；本项满分为3分，未提供不得分。 2.项目质量负责人（1人）：具有环境类或农业类相关专业高级及以上职称的得3分，中级职称的得2分；本项满分为3分，未提供不得分。 3.项目组其他成员（不含项目负责人和项目质量负责人）：每有1名人员具有环境类或农业类相关专业高级及以上职称的得1.5分，中级职称的得1分；本项满分为9分，未提供不得分 注：（1）以上人员应是投标人本单位人员，不重复计分。 （2）以上人员须提供有效期内相关证书、在职证明（在职证明指劳动合同或劳务协议或聘书或其他有效的证明材料），证明材料应真实有效，扫描件或复印件加盖单位公章，不提供或未按要求提供或提供的证明材料不满足要求的不得分。 （3）以上人员包含所有联合体成员的人员。</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投标人自2021年1月1日（含）至今每有一个类似项目业绩的得1分，最多得2分；本项满分为2分，无类似项目业绩或未提供相关证明材料的均不得分。 注：（1）类似业绩是指：农业面源污染类、地膜科学利用回收类项目业绩；（2）投标人需提供合同复印件加盖投标人公章（以合同签订日期为准）；（3）业绩包含所有联合体成员的类似业务业绩。</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r>
        <w:tc>
          <w:tcPr>
            <w:tcW w:type="dxa" w:w="58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本采购包接受大中型企业与小微企业组成联合体，对联合协议约定小微企业的合同份额占到合同总金额30%以上的，对联合体的报价给予扣除，用扣除后的价格参加评审。组成联合体的小微企业与联合体内其他企业之间存在直接控股、管理关系的，不享受价格扣除优惠政策。</w:t>
            </w:r>
          </w:p>
        </w:tc>
        <w:tc>
          <w:tcPr>
            <w:tcW w:type="dxa" w:w="831"/>
          </w:tcPr>
          <w:p>
            <w:pPr>
              <w:pStyle w:val="null3"/>
              <w:jc w:val="right"/>
            </w:pPr>
            <w:r>
              <w:rPr>
                <w:rFonts w:ascii="仿宋_GB2312" w:hAnsi="仿宋_GB2312" w:cs="仿宋_GB2312" w:eastAsia="仿宋_GB2312"/>
              </w:rPr>
              <w:t>6.00%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中小企业声明函,残疾人福利性单位声明函,联合体协议.docx,报价表,监狱企业的证明文件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详见附件：联合体协议.docx</w:t>
      </w:r>
    </w:p>
    <w:p>
      <w:pPr>
        <w:pStyle w:val="null3"/>
        <w:ind w:firstLine="960"/>
        <w:jc w:val="left"/>
      </w:pPr>
      <w:r>
        <w:rPr>
          <w:rFonts w:ascii="仿宋_GB2312" w:hAnsi="仿宋_GB2312" w:cs="仿宋_GB2312" w:eastAsia="仿宋_GB2312"/>
        </w:rPr>
        <w:t>详见附件：其他材料.docx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详见附件：政府采购合同.docx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