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版本号：N511324202400010620250324001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医用气体配送服务采购项目(五次)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N5113242024000106</w:t>
      </w:r>
    </w:p>
    <w:p>
      <w:pPr>
        <w:pStyle w:val="null3"/>
        <w:jc w:val="center"/>
        <w:outlineLvl w:val="2"/>
      </w:pPr>
      <w:r>
        <w:rPr>
          <w:rFonts w:ascii="仿宋_GB2312" w:hAnsi="仿宋_GB2312" w:cs="仿宋_GB2312" w:eastAsia="仿宋_GB2312"/>
          <w:sz w:val="28"/>
          <w:b/>
        </w:rPr>
        <w:t>仪陇县人民医院</w:t>
      </w:r>
    </w:p>
    <w:p>
      <w:pPr>
        <w:pStyle w:val="null3"/>
        <w:jc w:val="center"/>
        <w:outlineLvl w:val="2"/>
      </w:pPr>
      <w:r>
        <w:rPr>
          <w:rFonts w:ascii="仿宋_GB2312" w:hAnsi="仿宋_GB2312" w:cs="仿宋_GB2312" w:eastAsia="仿宋_GB2312"/>
          <w:sz w:val="28"/>
          <w:b/>
        </w:rPr>
        <w:t>四川亘晟项目管理有限公司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四川亘晟项目管理有限公司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仪陇县人民医院</w:t>
      </w:r>
      <w:r>
        <w:rPr>
          <w:rFonts w:ascii="仿宋_GB2312" w:hAnsi="仿宋_GB2312" w:cs="仿宋_GB2312" w:eastAsia="仿宋_GB2312"/>
        </w:rPr>
        <w:t xml:space="preserve"> 委托，拟对 </w:t>
      </w:r>
      <w:r>
        <w:rPr>
          <w:rFonts w:ascii="仿宋_GB2312" w:hAnsi="仿宋_GB2312" w:cs="仿宋_GB2312" w:eastAsia="仿宋_GB2312"/>
        </w:rPr>
        <w:t>医用气体配送服务采购项目(五次)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南充市仪陇县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N5113242024000106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医用气体配送服务采购项目(五次)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仪陇县总医院依托县人民医院，深度融合县中医医院、县妇幼保健院、县第二人民医院和基层医疗卫生机构组建而成。现因医疗业务工作需要，计划采购医用气体配送服务商一名，为县人民医院、县妇幼保健院、县中医医院配送医用气体。本项目共采购三年，合同一年一签。</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若供应商为生产厂家须具有有效的《药品生产许可证》、药品注册批件（如有补充申请事项或药品再注册还需提供相关证明文件）；若供应商为代理商须具有有效的《药品经营许可证》、生产厂家的《药品生产许可证》、药品注册批件（如有补充申请事项或药品再注册还需提供相关证明文件）。（纳入药品管理的医用气体适用）；(2)供应商具有有效的《危险化学品经营许可证》，其经营范围应符合本项目的采购范围。提供证书扫描件。；(3)供应商具有有效的《气瓶充装许可证》或者《移动式压力容器充装许可证》，提供证书扫描件。；(4)供应商具有有效的《道路危险货物运输许可证》或《道路运输经营许可证》（经营范围须包含危险货物运输）。（若委托第三方单位运输的，也可以提供第三方合作单位相应的运输资质以及有效的合同）（描述：供应商提供相关证书复印件并加盖投标人公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仪陇县人民医院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仪陇县新政镇隆城大道2段</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15082486210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四川亘晟项目管理有限公司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四川省南充市仪陇县新政镇春晖路五段34号附2-2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0817-6989655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采购包1：1,591,244.00元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代理服务费收费标准：中标（成交）供应商须在签订成交合同前向代理公司领取纸质档成交通知书并缴纳代理服务费，代理服务费按成交价计算收取。 （标准说明：中标金额（100万内的）：服务招标按成交金额的1.5%收取；中标金额（超过100万不足500万的部分）：服务招标按成交金额的0.8%收取；中标金额（超过500万不足1000万的部分）：服务招标按成交金额的0.45%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仪陇县人民医院</w:t>
      </w:r>
      <w:r>
        <w:rPr>
          <w:rFonts w:ascii="仿宋_GB2312" w:hAnsi="仿宋_GB2312" w:cs="仿宋_GB2312" w:eastAsia="仿宋_GB2312"/>
        </w:rPr>
        <w:t xml:space="preserve"> 和 </w:t>
      </w:r>
      <w:r>
        <w:rPr>
          <w:rFonts w:ascii="仿宋_GB2312" w:hAnsi="仿宋_GB2312" w:cs="仿宋_GB2312" w:eastAsia="仿宋_GB2312"/>
        </w:rPr>
        <w:t>四川亘晟项目管理有限公司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仪陇县人民医院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四川亘晟项目管理有限公司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按相关的要求和标准执行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按相关的要求和标准执行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按相关的要求和标准执行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按相关的要求和标准执行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仪陇县人民医院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四川亘晟项目管理有限公司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四川亘晟项目管理有限公司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联系电话：0817-6989655</w:t>
      </w:r>
    </w:p>
    <w:p>
      <w:pPr>
        <w:pStyle w:val="null3"/>
        <w:jc w:val="left"/>
      </w:pPr>
      <w:r>
        <w:rPr>
          <w:rFonts w:ascii="仿宋_GB2312" w:hAnsi="仿宋_GB2312" w:cs="仿宋_GB2312" w:eastAsia="仿宋_GB2312"/>
        </w:rPr>
        <w:t>地址：仪陇县新政镇春晖路34号</w:t>
      </w:r>
    </w:p>
    <w:p>
      <w:pPr>
        <w:pStyle w:val="null3"/>
        <w:jc w:val="left"/>
      </w:pPr>
      <w:r>
        <w:rPr>
          <w:rFonts w:ascii="仿宋_GB2312" w:hAnsi="仿宋_GB2312" w:cs="仿宋_GB2312" w:eastAsia="仿宋_GB2312"/>
        </w:rPr>
        <w:t>邮编：637600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1,591,244.00</w:t>
      </w:r>
    </w:p>
    <w:p>
      <w:pPr>
        <w:pStyle w:val="null3"/>
        <w:jc w:val="left"/>
      </w:pPr>
      <w:r>
        <w:rPr>
          <w:rFonts w:ascii="仿宋_GB2312" w:hAnsi="仿宋_GB2312" w:cs="仿宋_GB2312" w:eastAsia="仿宋_GB2312"/>
        </w:rPr>
        <w:t>采购包最高限价（元）: 1,591,244.00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其他服务</w:t>
            </w:r>
          </w:p>
        </w:tc>
        <w:tc>
          <w:tcPr>
            <w:tcW w:type="dxa" w:w="821"/>
          </w:tcPr>
          <w:p>
            <w:pPr>
              <w:pStyle w:val="null3"/>
              <w:jc w:val="left"/>
            </w:pPr>
            <w:r>
              <w:rPr>
                <w:rFonts w:ascii="仿宋_GB2312" w:hAnsi="仿宋_GB2312" w:cs="仿宋_GB2312" w:eastAsia="仿宋_GB2312"/>
              </w:rPr>
              <w:t>医用气体配送服务采购项目</w:t>
            </w:r>
          </w:p>
        </w:tc>
        <w:tc>
          <w:tcPr>
            <w:tcW w:type="dxa" w:w="821"/>
          </w:tcPr>
          <w:p>
            <w:pPr>
              <w:pStyle w:val="null3"/>
              <w:jc w:val="right"/>
            </w:pPr>
            <w:r>
              <w:rPr>
                <w:rFonts w:ascii="仿宋_GB2312" w:hAnsi="仿宋_GB2312" w:cs="仿宋_GB2312" w:eastAsia="仿宋_GB2312"/>
              </w:rPr>
              <w:t>1.00（年）</w:t>
            </w:r>
          </w:p>
        </w:tc>
        <w:tc>
          <w:tcPr>
            <w:tcW w:type="dxa" w:w="821"/>
          </w:tcPr>
          <w:p>
            <w:pPr>
              <w:pStyle w:val="null3"/>
              <w:jc w:val="right"/>
            </w:pPr>
            <w:r>
              <w:rPr>
                <w:rFonts w:ascii="仿宋_GB2312" w:hAnsi="仿宋_GB2312" w:cs="仿宋_GB2312" w:eastAsia="仿宋_GB2312"/>
              </w:rPr>
              <w:t>1,591,244.00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医用气体配送服务采购项目</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本项目因使用量为预估量，所以按单价进行采购，供应商填报的单价合计金额作为评审价参与评审。最终结算按：结算金额=成交单价×实际供货数量进行结算。</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标的名称：医用气体配送服务采购项目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（一）项目概况</w:t>
            </w:r>
          </w:p>
        </w:tc>
        <w:tc>
          <w:tcPr>
            <w:tcW w:type="dxa" w:w="5814"/>
          </w:tcPr>
          <w:p>
            <w:pPr>
              <w:pStyle w:val="null3"/>
              <w:jc w:val="both"/>
            </w:pPr>
            <w:r>
              <w:rPr>
                <w:rFonts w:ascii="仿宋_GB2312" w:hAnsi="仿宋_GB2312" w:cs="仿宋_GB2312" w:eastAsia="仿宋_GB2312"/>
                <w:sz w:val="24"/>
              </w:rPr>
              <w:t xml:space="preserve">  仪陇县总医院依托县人民医院，深度融合县中医医院、县妇幼保健院、县第二人民医院和基层医疗卫生机构组建而成。现因医疗业务工作需要，计划采购医用气体配送服务商一名，为县人民医院、县妇幼保健院、县中医医院配送医用气体。本项目共采购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二、服务内容及要求</w:t>
            </w:r>
          </w:p>
        </w:tc>
        <w:tc>
          <w:tcPr>
            <w:tcW w:type="dxa" w:w="5814"/>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（一）、配送清单及控价：</w:t>
            </w:r>
          </w:p>
          <w:tbl>
            <w:tblPr>
              <w:tblBorders>
                <w:top w:val="none" w:color="000000" w:sz="4"/>
                <w:left w:val="none" w:color="000000" w:sz="4"/>
                <w:bottom w:val="none" w:color="000000" w:sz="4"/>
                <w:right w:val="none" w:color="000000" w:sz="4"/>
                <w:insideH w:val="none"/>
                <w:insideV w:val="none"/>
              </w:tblBorders>
            </w:tblPr>
            <w:tblGrid>
              <w:gridCol w:w="824"/>
              <w:gridCol w:w="1117"/>
              <w:gridCol w:w="615"/>
              <w:gridCol w:w="700"/>
              <w:gridCol w:w="1506"/>
              <w:gridCol w:w="824"/>
            </w:tblGrid>
            <w:tr>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品名</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规格型号</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最高单价</w:t>
                  </w:r>
                  <w:r>
                    <w:rPr>
                      <w:rFonts w:ascii="仿宋_GB2312" w:hAnsi="仿宋_GB2312" w:cs="仿宋_GB2312" w:eastAsia="仿宋_GB2312"/>
                      <w:sz w:val="22"/>
                    </w:rPr>
                    <w:t>（元）</w:t>
                  </w:r>
                </w:p>
              </w:tc>
              <w:tc>
                <w:tcPr>
                  <w:tcW w:type="dxa" w:w="1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执行标准</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预计三年</w:t>
                  </w:r>
                </w:p>
                <w:p>
                  <w:pPr>
                    <w:pStyle w:val="null3"/>
                    <w:jc w:val="center"/>
                  </w:pPr>
                  <w:r>
                    <w:rPr>
                      <w:rFonts w:ascii="仿宋_GB2312" w:hAnsi="仿宋_GB2312" w:cs="仿宋_GB2312" w:eastAsia="仿宋_GB2312"/>
                      <w:sz w:val="22"/>
                    </w:rPr>
                    <w:t>使用量</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液态氧</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浓度</w:t>
                  </w:r>
                  <w:r>
                    <w:rPr>
                      <w:rFonts w:ascii="仿宋_GB2312" w:hAnsi="仿宋_GB2312" w:cs="仿宋_GB2312" w:eastAsia="仿宋_GB2312"/>
                      <w:sz w:val="22"/>
                    </w:rPr>
                    <w:t>≥99.95%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立方米</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2280</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《中国药典》</w:t>
                  </w:r>
                  <w:r>
                    <w:rPr>
                      <w:rFonts w:ascii="仿宋_GB2312" w:hAnsi="仿宋_GB2312" w:cs="仿宋_GB2312" w:eastAsia="仿宋_GB2312"/>
                      <w:sz w:val="22"/>
                    </w:rPr>
                    <w:t>20</w:t>
                  </w:r>
                  <w:r>
                    <w:rPr>
                      <w:rFonts w:ascii="仿宋_GB2312" w:hAnsi="仿宋_GB2312" w:cs="仿宋_GB2312" w:eastAsia="仿宋_GB2312"/>
                      <w:sz w:val="22"/>
                    </w:rPr>
                    <w:t>20</w:t>
                  </w:r>
                  <w:r>
                    <w:rPr>
                      <w:rFonts w:ascii="仿宋_GB2312" w:hAnsi="仿宋_GB2312" w:cs="仿宋_GB2312" w:eastAsia="仿宋_GB2312"/>
                      <w:sz w:val="22"/>
                    </w:rPr>
                    <w:t>版第二部</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1900</w:t>
                  </w:r>
                  <w:r>
                    <w:rPr>
                      <w:rFonts w:ascii="仿宋_GB2312" w:hAnsi="仿宋_GB2312" w:cs="仿宋_GB2312" w:eastAsia="仿宋_GB2312"/>
                      <w:sz w:val="22"/>
                    </w:rPr>
                    <w:t>m³</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医用瓶装氧</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浓度</w:t>
                  </w:r>
                  <w:r>
                    <w:rPr>
                      <w:rFonts w:ascii="仿宋_GB2312" w:hAnsi="仿宋_GB2312" w:cs="仿宋_GB2312" w:eastAsia="仿宋_GB2312"/>
                      <w:sz w:val="22"/>
                    </w:rPr>
                    <w:t>≥99.5%；40L/瓶</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《中国药典》</w:t>
                  </w:r>
                  <w:r>
                    <w:rPr>
                      <w:rFonts w:ascii="仿宋_GB2312" w:hAnsi="仿宋_GB2312" w:cs="仿宋_GB2312" w:eastAsia="仿宋_GB2312"/>
                      <w:sz w:val="22"/>
                    </w:rPr>
                    <w:t>20</w:t>
                  </w:r>
                  <w:r>
                    <w:rPr>
                      <w:rFonts w:ascii="仿宋_GB2312" w:hAnsi="仿宋_GB2312" w:cs="仿宋_GB2312" w:eastAsia="仿宋_GB2312"/>
                      <w:sz w:val="22"/>
                    </w:rPr>
                    <w:t>20</w:t>
                  </w:r>
                  <w:r>
                    <w:rPr>
                      <w:rFonts w:ascii="仿宋_GB2312" w:hAnsi="仿宋_GB2312" w:cs="仿宋_GB2312" w:eastAsia="仿宋_GB2312"/>
                      <w:sz w:val="22"/>
                    </w:rPr>
                    <w:t>版第二部</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1800瓶</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二氧化碳</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浓度</w:t>
                  </w:r>
                  <w:r>
                    <w:rPr>
                      <w:rFonts w:ascii="仿宋_GB2312" w:hAnsi="仿宋_GB2312" w:cs="仿宋_GB2312" w:eastAsia="仿宋_GB2312"/>
                      <w:sz w:val="22"/>
                    </w:rPr>
                    <w:t>≥99.2%；40L/瓶</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91</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GB1886.228-2016</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r>
                    <w:rPr>
                      <w:rFonts w:ascii="仿宋_GB2312" w:hAnsi="仿宋_GB2312" w:cs="仿宋_GB2312" w:eastAsia="仿宋_GB2312"/>
                      <w:sz w:val="22"/>
                    </w:rPr>
                    <w:t>21</w:t>
                  </w:r>
                  <w:r>
                    <w:rPr>
                      <w:rFonts w:ascii="仿宋_GB2312" w:hAnsi="仿宋_GB2312" w:cs="仿宋_GB2312" w:eastAsia="仿宋_GB2312"/>
                      <w:sz w:val="22"/>
                    </w:rPr>
                    <w:t>瓶</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氩气</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浓度</w:t>
                  </w:r>
                  <w:r>
                    <w:rPr>
                      <w:rFonts w:ascii="仿宋_GB2312" w:hAnsi="仿宋_GB2312" w:cs="仿宋_GB2312" w:eastAsia="仿宋_GB2312"/>
                      <w:sz w:val="22"/>
                    </w:rPr>
                    <w:t>≥99.999%；40L/瓶</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263</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GB/T4842-2017</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r>
                    <w:rPr>
                      <w:rFonts w:ascii="仿宋_GB2312" w:hAnsi="仿宋_GB2312" w:cs="仿宋_GB2312" w:eastAsia="仿宋_GB2312"/>
                      <w:sz w:val="22"/>
                    </w:rPr>
                    <w:t>瓶</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液氮</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浓度</w:t>
                  </w:r>
                  <w:r>
                    <w:rPr>
                      <w:rFonts w:ascii="仿宋_GB2312" w:hAnsi="仿宋_GB2312" w:cs="仿宋_GB2312" w:eastAsia="仿宋_GB2312"/>
                      <w:sz w:val="22"/>
                    </w:rPr>
                    <w:t>≥99.999%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GB/T8979-2008</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590</w:t>
                  </w:r>
                  <w:r>
                    <w:rPr>
                      <w:rFonts w:ascii="仿宋_GB2312" w:hAnsi="仿宋_GB2312" w:cs="仿宋_GB2312" w:eastAsia="仿宋_GB2312"/>
                      <w:sz w:val="22"/>
                    </w:rPr>
                    <w:t>L</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高纯乙炔</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浓度</w:t>
                  </w:r>
                  <w:r>
                    <w:rPr>
                      <w:rFonts w:ascii="仿宋_GB2312" w:hAnsi="仿宋_GB2312" w:cs="仿宋_GB2312" w:eastAsia="仿宋_GB2312"/>
                      <w:sz w:val="22"/>
                    </w:rPr>
                    <w:t>≥99.8%；40L/瓶</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543</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GB/T</w:t>
                  </w:r>
                  <w:r>
                    <w:rPr>
                      <w:rFonts w:ascii="仿宋_GB2312" w:hAnsi="仿宋_GB2312" w:cs="仿宋_GB2312" w:eastAsia="仿宋_GB2312"/>
                      <w:sz w:val="22"/>
                    </w:rPr>
                    <w:t>12058-2006</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r>
                    <w:rPr>
                      <w:rFonts w:ascii="仿宋_GB2312" w:hAnsi="仿宋_GB2312" w:cs="仿宋_GB2312" w:eastAsia="仿宋_GB2312"/>
                      <w:sz w:val="22"/>
                    </w:rPr>
                    <w:t>瓶</w:t>
                  </w:r>
                </w:p>
              </w:tc>
            </w:tr>
          </w:tbl>
          <w:p>
            <w:pPr>
              <w:pStyle w:val="null3"/>
              <w:ind w:firstLine="480"/>
              <w:jc w:val="both"/>
            </w:pPr>
            <w:r>
              <w:rPr>
                <w:rFonts w:ascii="仿宋_GB2312" w:hAnsi="仿宋_GB2312" w:cs="仿宋_GB2312" w:eastAsia="仿宋_GB2312"/>
                <w:sz w:val="24"/>
              </w:rPr>
              <w:t>注：以上最高单价包含生产、灌装、运输等一切费用。</w:t>
            </w:r>
          </w:p>
          <w:p>
            <w:pPr>
              <w:pStyle w:val="null3"/>
              <w:ind w:firstLine="480"/>
              <w:jc w:val="both"/>
            </w:pPr>
            <w:r>
              <w:rPr>
                <w:rFonts w:ascii="仿宋_GB2312" w:hAnsi="仿宋_GB2312" w:cs="仿宋_GB2312" w:eastAsia="仿宋_GB2312"/>
                <w:sz w:val="24"/>
              </w:rPr>
              <w:t>（二）、服务要求</w:t>
            </w:r>
          </w:p>
          <w:p>
            <w:pPr>
              <w:pStyle w:val="null3"/>
              <w:ind w:firstLine="480"/>
              <w:jc w:val="both"/>
            </w:pPr>
            <w:r>
              <w:rPr>
                <w:rFonts w:ascii="仿宋_GB2312" w:hAnsi="仿宋_GB2312" w:cs="仿宋_GB2312" w:eastAsia="仿宋_GB2312"/>
                <w:sz w:val="24"/>
              </w:rPr>
              <w:t>1、成交供应商必须保证全年365天值班响应，及时保证仪陇县人民医院、仪陇县中医院、仪陇县妇幼保健院（以下简称医院）用气需求及供应。</w:t>
            </w:r>
          </w:p>
          <w:p>
            <w:pPr>
              <w:pStyle w:val="null3"/>
              <w:ind w:firstLine="420"/>
              <w:jc w:val="both"/>
            </w:pPr>
            <w:r>
              <w:rPr>
                <w:rFonts w:ascii="仿宋_GB2312" w:hAnsi="仿宋_GB2312" w:cs="仿宋_GB2312" w:eastAsia="仿宋_GB2312"/>
                <w:sz w:val="24"/>
              </w:rPr>
              <w:t>2、成交供应商须按照医院指定的时间和要求按时供货。紧急供货：成交供应商接到医院医用气体需求通知（电话等方式），应于1-1.5小时内将需求的医用气体送达指定的医院储存区（可委托就近区域气源供货，气体需保证同品质）。日常供货:成交供应商接到医院医用气体需求通知（电话等方式），应于4小时内将需求的医用气体送达指定的医院储存区。</w:t>
            </w:r>
          </w:p>
          <w:p>
            <w:pPr>
              <w:pStyle w:val="null3"/>
              <w:ind w:firstLine="480"/>
              <w:jc w:val="both"/>
            </w:pPr>
            <w:r>
              <w:rPr>
                <w:rFonts w:ascii="仿宋_GB2312" w:hAnsi="仿宋_GB2312" w:cs="仿宋_GB2312" w:eastAsia="仿宋_GB2312"/>
                <w:sz w:val="24"/>
              </w:rPr>
              <w:t>3、成交供应商负责对医院所有气瓶进行维护;负责每年为医院办理气瓶的质检手续，包括安全阀、压力表的定期检验和更换</w:t>
            </w:r>
            <w:r>
              <w:rPr>
                <w:rFonts w:ascii="仿宋_GB2312" w:hAnsi="仿宋_GB2312" w:cs="仿宋_GB2312" w:eastAsia="仿宋_GB2312"/>
                <w:sz w:val="24"/>
                <w:color w:val="000000"/>
              </w:rPr>
              <w:t>，且需提供并安装仪陇县中医院氧气储存罐</w:t>
            </w:r>
            <w:r>
              <w:rPr>
                <w:rFonts w:ascii="仿宋_GB2312" w:hAnsi="仿宋_GB2312" w:cs="仿宋_GB2312" w:eastAsia="仿宋_GB2312"/>
                <w:sz w:val="24"/>
                <w:color w:val="000000"/>
              </w:rPr>
              <w:t>5立方米一个及仪陇县人民医院（河西院区）气化器一组。</w:t>
            </w:r>
          </w:p>
          <w:p>
            <w:pPr>
              <w:pStyle w:val="null3"/>
              <w:ind w:firstLine="480"/>
              <w:jc w:val="both"/>
            </w:pPr>
            <w:r>
              <w:rPr>
                <w:rFonts w:ascii="仿宋_GB2312" w:hAnsi="仿宋_GB2312" w:cs="仿宋_GB2312" w:eastAsia="仿宋_GB2312"/>
                <w:sz w:val="24"/>
              </w:rPr>
              <w:t>4、成交供应商须指派专人负责与医院联系售后服务事宜。</w:t>
            </w:r>
          </w:p>
          <w:p>
            <w:pPr>
              <w:pStyle w:val="null3"/>
              <w:ind w:firstLine="480"/>
              <w:jc w:val="both"/>
            </w:pPr>
            <w:r>
              <w:rPr>
                <w:rFonts w:ascii="仿宋_GB2312" w:hAnsi="仿宋_GB2312" w:cs="仿宋_GB2312" w:eastAsia="仿宋_GB2312"/>
                <w:sz w:val="24"/>
              </w:rPr>
              <w:t>5、成交供应商负责向医院提供合同期内周转用低温绝热气瓶和医用氧气钢瓶，其在合同期内检验费、维修维护费等一切费用由供应商自行承担。</w:t>
            </w:r>
          </w:p>
          <w:p>
            <w:pPr>
              <w:pStyle w:val="null3"/>
              <w:ind w:firstLine="480"/>
              <w:jc w:val="both"/>
            </w:pPr>
            <w:r>
              <w:rPr>
                <w:rFonts w:ascii="仿宋_GB2312" w:hAnsi="仿宋_GB2312" w:cs="仿宋_GB2312" w:eastAsia="仿宋_GB2312"/>
                <w:sz w:val="24"/>
              </w:rPr>
              <w:t>6、成交供应商负责派专业技术人员到医院指定的地点对相关人员进行使用操作、使用安全注意事项等进行现场培训，要求使采购人的操作人员能熟练进行产品使用操作流程，应急处理程序，工程技术人员能熟练独立工作，同时能完成一般常见故障的维修工作，另成交供应商需提供专业技术支持协助采购人处理故障。</w:t>
            </w:r>
          </w:p>
          <w:p>
            <w:pPr>
              <w:pStyle w:val="null3"/>
              <w:ind w:firstLine="480"/>
              <w:jc w:val="both"/>
            </w:pPr>
            <w:r>
              <w:rPr>
                <w:rFonts w:ascii="仿宋_GB2312" w:hAnsi="仿宋_GB2312" w:cs="仿宋_GB2312" w:eastAsia="仿宋_GB2312"/>
                <w:sz w:val="24"/>
              </w:rPr>
              <w:t>★7、成交供应商合同履行期间需派驻一名维修工程师负责正负压机组、呼叫系统、中心供氧系统、液氧储罐及管道维护。包括但不限于储罐的压力阀、安全阀、管道密封性等，并出具安全巡检告知书，内容应包含巡检内容明细、巡检发现的安全隐患点、整改措施、优化方案等。</w:t>
            </w:r>
          </w:p>
          <w:p>
            <w:pPr>
              <w:pStyle w:val="null3"/>
              <w:ind w:firstLine="480"/>
              <w:jc w:val="both"/>
            </w:pPr>
            <w:r>
              <w:rPr>
                <w:rFonts w:ascii="仿宋_GB2312" w:hAnsi="仿宋_GB2312" w:cs="仿宋_GB2312" w:eastAsia="仿宋_GB2312"/>
                <w:sz w:val="24"/>
              </w:rPr>
              <w:t>8、成交供应商每年应协助医院进行液氧站应急演练，演练专业设备由供应商提供，出现紧急情况供应商响应时间不超过</w:t>
            </w:r>
            <w:r>
              <w:rPr>
                <w:rFonts w:ascii="仿宋_GB2312" w:hAnsi="仿宋_GB2312" w:cs="仿宋_GB2312" w:eastAsia="仿宋_GB2312"/>
                <w:sz w:val="24"/>
              </w:rPr>
              <w:t>0.5</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9、成交供应商单位应根据国家标准、行业标准、地方标准等协助采购单位完善液氧贮槽站环境规范化管理，提供相关警示提示标识、操作规程、注意事项以及操作流程等资料。</w:t>
            </w:r>
          </w:p>
          <w:p>
            <w:pPr>
              <w:pStyle w:val="null3"/>
              <w:jc w:val="both"/>
            </w:pPr>
            <w:r>
              <w:rPr>
                <w:rFonts w:ascii="仿宋_GB2312" w:hAnsi="仿宋_GB2312" w:cs="仿宋_GB2312" w:eastAsia="仿宋_GB2312"/>
                <w:sz w:val="24"/>
              </w:rPr>
              <w:t xml:space="preserve">  10、成交供应商自行承担运输过程及充装过程的全部安全责任，包括车辆进入院区至离开院区期间在院区内的行驶安全、气体充装安全、气体卸载安全、卸载人员安全、卸载环境安全等相关安全责任及所造成或引发的安全事故均由成交供应商自行负责。</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自合同签订之日起1095日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采购人与成交供应商应参照《财政部关于进一步加强政府采购需求和履约验收管理的指导意见》（财库〔2016〕205号）、《政府采购需求管理办法》(财库〔2021〕22 号) 文的要求进行验收。验收由医院组织，成交供应商配合进行。成交供应商提供给医院的医用气体计量方法，以储槽液位计为准或按实际压力、重量计算，并提供医用气体质量检测报告及液位计量器的计量检测报告。</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1、合同签订生效后，达到付款条件起5日内，据实情况说明为合同价款的40%元作为预付款（后期扣除）</w:t>
            </w:r>
          </w:p>
          <w:p>
            <w:pPr>
              <w:pStyle w:val="null3"/>
              <w:jc w:val="left"/>
            </w:pPr>
            <w:r>
              <w:rPr>
                <w:rFonts w:ascii="仿宋_GB2312" w:hAnsi="仿宋_GB2312" w:cs="仿宋_GB2312" w:eastAsia="仿宋_GB2312"/>
              </w:rPr>
              <w:t>2、每月经验收合格后，达到付款条件起5日内，据实情况说明为由各院区分别支付，每月据实结算。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按相关的要求和标准执行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★1、合同履行期限：自合同签订之日起三年，合同一年一签。 ★2、合同签订方式：成交供应商分别与仪陇县人民医院、仪陇县中医医院、仪陇县妇幼保健院签订采购合同。 ★3、合同履约地点：仪陇县人民医院、仪陇县中医医院、仪陇县妇幼保健院。 ★4、报价方式：本项目因使用量为预估量，所以按单价进行采购，供应商填报的单价合计金额作为评审价参与评审。最终结算按：结算金额=成交单价×实际供货数量进行结算。 5、供应商结合磋商文件项目概况、采购需求、评分标准和自身投标响应情况提供包括服务方案、履约能力等与履约本项目相关的综合能力的证明材料（用于综合评分）。 6、在本采购文件中没有提及的与本项目履约切实相关的事宜，在采购人与成交供应商订立合同时明细约定或后续补充约定（约定的内容须符合国家相关法律法规的规定）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或“营业执照、税务登记证”⑤若为自然人：提供“身份证明材料”。</w:t>
            </w:r>
          </w:p>
        </w:tc>
        <w:tc>
          <w:tcPr>
            <w:tcW w:type="dxa" w:w="1910"/>
          </w:tcPr>
          <w:p>
            <w:pPr>
              <w:pStyle w:val="null3"/>
              <w:jc w:val="left"/>
            </w:pPr>
            <w:r>
              <w:rPr>
                <w:rFonts w:ascii="仿宋_GB2312" w:hAnsi="仿宋_GB2312" w:cs="仿宋_GB2312" w:eastAsia="仿宋_GB2312"/>
              </w:rPr>
              <w:t>供应商应提交的资格证明材料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A、可提供2022年度以来任意一年度经审计的财务报告 （包含审计报告和审计报告中所涉及的财务报表和报表附注）；B、也可提供2022年度以来任意一年度供应商内部的财务报表（财务报表内容至少包含并体现资产负债及利润情况）；C、也可提供截止响应文件递交截止日一年内其基本开户银行出具的资信证明；D、供应商注册时间截止响应文件递交截止日不足一年的，也可提供经备案的公司章程。</w:t>
            </w:r>
          </w:p>
        </w:tc>
        <w:tc>
          <w:tcPr>
            <w:tcW w:type="dxa" w:w="1910"/>
          </w:tcPr>
          <w:p>
            <w:pPr>
              <w:pStyle w:val="null3"/>
              <w:jc w:val="left"/>
            </w:pPr>
            <w:r>
              <w:rPr>
                <w:rFonts w:ascii="仿宋_GB2312" w:hAnsi="仿宋_GB2312" w:cs="仿宋_GB2312" w:eastAsia="仿宋_GB2312"/>
              </w:rPr>
              <w:t>供应商应提交的资格证明材料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若供应商为生产厂家须具有有效的《药品生产许可证》、药品注册批件（如有补充申请事项或药品再注册还需提供相关证明文件）；若供应商为代理商须具有有效的《药品经营许可证》、生产厂家的《药品生产许可证》、药品注册批件（如有补充申请事项或药品再注册还需提供相关证明文件）。（纳入药品管理的医用气体适用）；(2)供应商具有有效的《危险化学品经营许可证》，其经营范围应符合本项目的采购范围。提供证书扫描件。；(3)供应商具有有效的《气瓶充装许可证》或者《移动式压力容器充装许可证》，提供证书扫描件。；(4)供应商具有有效的《道路危险货物运输许可证》或《道路运输经营许可证》（经营范围须包含危险货物运输）。（若委托第三方单位运输的，也可以提供第三方合作单位相应的运输资质以及有效的合同）</w:t>
            </w:r>
          </w:p>
        </w:tc>
        <w:tc>
          <w:tcPr>
            <w:tcW w:type="dxa" w:w="3322"/>
          </w:tcPr>
          <w:p>
            <w:pPr>
              <w:pStyle w:val="null3"/>
              <w:jc w:val="left"/>
            </w:pPr>
            <w:r>
              <w:rPr>
                <w:rFonts w:ascii="仿宋_GB2312" w:hAnsi="仿宋_GB2312" w:cs="仿宋_GB2312" w:eastAsia="仿宋_GB2312"/>
              </w:rPr>
              <w:t>供应商提供相关证书复印件并加盖投标人公章。</w:t>
            </w:r>
          </w:p>
        </w:tc>
        <w:tc>
          <w:tcPr>
            <w:tcW w:type="dxa" w:w="1910"/>
          </w:tcPr>
          <w:p>
            <w:pPr>
              <w:pStyle w:val="null3"/>
              <w:jc w:val="left"/>
            </w:pPr>
            <w:r>
              <w:rPr>
                <w:rFonts w:ascii="仿宋_GB2312" w:hAnsi="仿宋_GB2312" w:cs="仿宋_GB2312" w:eastAsia="仿宋_GB2312"/>
              </w:rPr>
              <w:t>供应商应提交的资格证明材料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投标文件组成的完整性；投标文件技术、服务应答内容符合采购项目的的实质性要求；符合采购文件规定的其他实质性内容。</w:t>
            </w:r>
          </w:p>
        </w:tc>
        <w:tc>
          <w:tcPr>
            <w:tcW w:type="dxa" w:w="3322"/>
          </w:tcPr>
          <w:p>
            <w:pPr>
              <w:pStyle w:val="null3"/>
              <w:jc w:val="left"/>
            </w:pPr>
            <w:r>
              <w:rPr>
                <w:rFonts w:ascii="仿宋_GB2312" w:hAnsi="仿宋_GB2312" w:cs="仿宋_GB2312" w:eastAsia="仿宋_GB2312"/>
              </w:rPr>
              <w:t>投标文件组成的完整性；投标文件技术、服务应答内容符合采购项目的的实质性要求；符合采购文件规定的其他实质性内容。</w:t>
            </w:r>
          </w:p>
        </w:tc>
        <w:tc>
          <w:tcPr>
            <w:tcW w:type="dxa" w:w="1910"/>
          </w:tcPr>
          <w:p>
            <w:pPr>
              <w:pStyle w:val="null3"/>
              <w:jc w:val="left"/>
            </w:pPr>
            <w:r>
              <w:rPr>
                <w:rFonts w:ascii="仿宋_GB2312" w:hAnsi="仿宋_GB2312" w:cs="仿宋_GB2312" w:eastAsia="仿宋_GB2312"/>
              </w:rPr>
              <w:t>响应文件封面,供应商根据采购文件要求自行提供相关资料,供应商应提交的资格证明材料,报价一览表,报价明细表,技术要求应答表,中小企业声明函,残疾人福利性单位声明函,服务（商务及其他要求）应答表,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服务要求</w:t>
            </w:r>
          </w:p>
        </w:tc>
        <w:tc>
          <w:tcPr>
            <w:tcW w:type="dxa" w:w="2575"/>
          </w:tcPr>
          <w:p>
            <w:pPr>
              <w:pStyle w:val="null3"/>
              <w:jc w:val="left"/>
            </w:pPr>
            <w:r>
              <w:rPr>
                <w:rFonts w:ascii="仿宋_GB2312" w:hAnsi="仿宋_GB2312" w:cs="仿宋_GB2312" w:eastAsia="仿宋_GB2312"/>
              </w:rPr>
              <w:t>供应商针对磋商文件第3章中“服务内容及要求”条款的响应得分规则如下：完全满足得9分，每有一条负偏离扣1分，扣完为止，实质性要求除外。 注：对技术支撑材料有要求的按要求提供，否则对应条款将视为不满足。</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技术要求应答表</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1、配送服务方案（15分） 供应商提供的配送服务方案，包括但不限于：（1）运输方案（2）充装方案（3）安全保障方案（4）相关管理制度（5）配送人员及车辆配置方案。具备以上5项方案且详细具体并符合本项目实际情况的得15分，每有一项缺项、漏项的扣 3 分；每有一处缺陷（指：存在不适用项目实际情况的情形、凭空编造、方案中内容前后不一致、前后逻辑错误、前后矛盾、涉及的规范及标准错误、地点区域错误、内容缺失、不符合采购需求方案标题与实际内容有不相符合、方案不全面等）的扣1.5分，扣完为止，未提供不得分。 2、应急服务方案（12分） 供应商提供的应急服务方案，包括但不限于：（1）应急机制（2）遇到突发事件处理预警（3）安全事故应急处理（4）自然灾害处理等应急措施。具备以上4项方案且详细具体并符合本项目实际情况的得12分，每有一项缺项、漏项的扣 3 分；每有一处缺陷（指：存在不适用项目实际情况的情形、凭空编造、方案中内容前后不一致、前后逻辑错误、前后矛盾、涉及的规范及标准错误、地点区域错误、内容缺失、不符合采购需求方案标题与实际内容有不相符合、方案不全面等）扣1.5分，扣完为止，未提供不得分。 3、售后服务方案（12分） 供应商提供的售后服务方案，包括但不限于（1）售后保证范围承诺（2）售后服务人员配置（3）液氧站的维保方案（4）人员培训计划。完全满足要求的得12分，每有一项缺项、漏项的扣3分；每有一处缺陷（指：存在不适用项目实际情况的情形、凭空编造、方案中内容前后不一致、前后逻辑错误、前后矛盾、涉及的规范及标准错误、地点区域错误、内容缺失、不符合采购需求方案标题与实际内容有不相符合、方案不全面等）扣1.5分，直到扣完为止，未提供不得分。</w:t>
            </w:r>
          </w:p>
        </w:tc>
        <w:tc>
          <w:tcPr>
            <w:tcW w:type="dxa" w:w="831"/>
          </w:tcPr>
          <w:p>
            <w:pPr>
              <w:pStyle w:val="null3"/>
              <w:jc w:val="center"/>
            </w:pPr>
            <w:r>
              <w:rPr>
                <w:rFonts w:ascii="仿宋_GB2312" w:hAnsi="仿宋_GB2312" w:cs="仿宋_GB2312" w:eastAsia="仿宋_GB2312"/>
              </w:rPr>
              <w:t>39.0000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供应商根据采购文件要求自行提供相关资料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575"/>
          </w:tcPr>
          <w:p>
            <w:pPr>
              <w:pStyle w:val="null3"/>
              <w:jc w:val="left"/>
            </w:pPr>
            <w:r>
              <w:rPr>
                <w:rFonts w:ascii="仿宋_GB2312" w:hAnsi="仿宋_GB2312" w:cs="仿宋_GB2312" w:eastAsia="仿宋_GB2312"/>
              </w:rPr>
              <w:t>1、供应商拟投入本项目危化品运输专用车每有一辆得2分，最多得6分，提供车辆行驶证复印件及道路运输许可证； 2、供应商拟投入本项目的人员中每有一人取得压力容器操作证得2分，最多得4分，提供证书复印件、劳动合同或工资发放证明或社保缴纳证明复印件并加盖供应商鲜章。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供应商根据采购文件要求自行提供相关资料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根据供应商2022年1月1日（含）至递交投标文件截止日的同类业绩情况进行评审，每提供1份服务业绩得2分，最多得6分，提供中标（成交）通知书复印件和合同复印件并加盖供应商公章，未提供不得分；其中业绩履约验收获优秀或满意评价的加2分，最多加6分，提供合同相对方出具的相关验收报告或评价证明材料，资料上应有验收单位联系人、联系电话和明确的验收或评价意见。注：时间以合同签订时间为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供应商根据采购文件要求自行提供相关资料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详见附件：供应商应提交的资格证明材料</w:t>
      </w:r>
    </w:p>
    <w:p>
      <w:pPr>
        <w:pStyle w:val="null3"/>
        <w:ind w:firstLine="960"/>
        <w:jc w:val="left"/>
      </w:pPr>
      <w:r>
        <w:rPr>
          <w:rFonts w:ascii="仿宋_GB2312" w:hAnsi="仿宋_GB2312" w:cs="仿宋_GB2312" w:eastAsia="仿宋_GB2312"/>
        </w:rPr>
        <w:t>详见附件：服务（商务及其他要求）应答表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详见附件：技术要求应答表</w:t>
      </w:r>
    </w:p>
    <w:p>
      <w:pPr>
        <w:pStyle w:val="null3"/>
        <w:ind w:firstLine="960"/>
        <w:jc w:val="left"/>
      </w:pPr>
      <w:r>
        <w:rPr>
          <w:rFonts w:ascii="仿宋_GB2312" w:hAnsi="仿宋_GB2312" w:cs="仿宋_GB2312" w:eastAsia="仿宋_GB2312"/>
        </w:rPr>
        <w:t>详见附件：供应商根据采购文件要求自行提供相关资料</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详见附件：政府采购合同（服务类）.docx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