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18995">
      <w:pPr>
        <w:pStyle w:val="5"/>
        <w:ind w:firstLine="482" w:firstLineChars="0"/>
        <w:jc w:val="center"/>
        <w:rPr>
          <w:rFonts w:hint="eastAsia" w:ascii="宋体" w:hAnsi="宋体" w:eastAsia="宋体" w:cs="宋体"/>
          <w:b/>
          <w:color w:val="auto"/>
          <w:sz w:val="36"/>
          <w:szCs w:val="36"/>
        </w:rPr>
      </w:pPr>
      <w:r>
        <w:rPr>
          <w:rFonts w:hint="eastAsia" w:ascii="宋体" w:hAnsi="宋体" w:eastAsia="宋体" w:cs="宋体"/>
          <w:b/>
          <w:color w:val="auto"/>
          <w:sz w:val="36"/>
          <w:szCs w:val="36"/>
        </w:rPr>
        <w:t>政府采购合同（草案）</w:t>
      </w:r>
    </w:p>
    <w:p w14:paraId="63FCF39A">
      <w:pPr>
        <w:pStyle w:val="5"/>
        <w:ind w:firstLine="0" w:firstLineChars="0"/>
        <w:rPr>
          <w:rFonts w:hint="eastAsia" w:ascii="宋体" w:hAnsi="宋体" w:eastAsia="宋体" w:cs="宋体"/>
          <w:b/>
          <w:color w:val="auto"/>
        </w:rPr>
      </w:pPr>
      <w:r>
        <w:rPr>
          <w:rFonts w:hint="eastAsia" w:ascii="宋体" w:hAnsi="宋体" w:eastAsia="宋体" w:cs="宋体"/>
          <w:b/>
          <w:color w:val="auto"/>
          <w:spacing w:val="-4"/>
          <w:w w:val="90"/>
        </w:rPr>
        <w:t>合同格式及内容条款附下（以下为合同基本格式、签订具体合同时，双方可以结合实际情况进行调整）</w:t>
      </w:r>
    </w:p>
    <w:p w14:paraId="5D9DE588">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 xml:space="preserve">合同编号：XXX                                         </w:t>
      </w:r>
    </w:p>
    <w:p w14:paraId="4D426A67">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 xml:space="preserve">签订地点：XXX                                         </w:t>
      </w:r>
    </w:p>
    <w:p w14:paraId="6161D106">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 xml:space="preserve">签订时间：XXX年XXX月XXX日                                         </w:t>
      </w:r>
    </w:p>
    <w:p w14:paraId="1BF4A93E">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 xml:space="preserve">采购人（甲方）：XXX                                          </w:t>
      </w:r>
    </w:p>
    <w:p w14:paraId="26A3B93B">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 xml:space="preserve">供应商（乙方）：XXX                                          </w:t>
      </w:r>
    </w:p>
    <w:p w14:paraId="2F8CC256">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根据《中华人民共和国政府采购法》、《中华人民共和国</w:t>
      </w:r>
      <w:r>
        <w:rPr>
          <w:rFonts w:hint="eastAsia" w:ascii="宋体" w:hAnsi="宋体" w:eastAsia="宋体" w:cs="宋体"/>
          <w:color w:val="auto"/>
          <w:lang w:val="en-US" w:eastAsia="zh-CN"/>
        </w:rPr>
        <w:t>民法典</w:t>
      </w:r>
      <w:r>
        <w:rPr>
          <w:rFonts w:hint="eastAsia" w:ascii="宋体" w:hAnsi="宋体" w:eastAsia="宋体" w:cs="宋体"/>
          <w:color w:val="auto"/>
        </w:rPr>
        <w:t>》及XXX采购项目（项目编号：XXX）的《</w:t>
      </w:r>
      <w:r>
        <w:rPr>
          <w:rFonts w:hint="eastAsia" w:ascii="宋体" w:hAnsi="宋体" w:eastAsia="宋体" w:cs="宋体"/>
          <w:bCs/>
          <w:color w:val="auto"/>
          <w:lang w:val="en-US" w:eastAsia="zh-CN"/>
        </w:rPr>
        <w:t>招标文件</w:t>
      </w:r>
      <w:r>
        <w:rPr>
          <w:rFonts w:hint="eastAsia" w:ascii="宋体" w:hAnsi="宋体" w:eastAsia="宋体" w:cs="宋体"/>
          <w:color w:val="auto"/>
        </w:rPr>
        <w:t>》、乙方的《</w:t>
      </w:r>
      <w:r>
        <w:rPr>
          <w:rFonts w:hint="eastAsia" w:ascii="宋体" w:hAnsi="宋体" w:cs="宋体"/>
          <w:color w:val="auto"/>
          <w:lang w:val="en-US" w:eastAsia="zh-CN"/>
        </w:rPr>
        <w:t>投标</w:t>
      </w:r>
      <w:r>
        <w:rPr>
          <w:rFonts w:hint="eastAsia" w:ascii="宋体" w:hAnsi="宋体" w:eastAsia="宋体" w:cs="宋体"/>
          <w:color w:val="auto"/>
        </w:rPr>
        <w:t>文件》及《</w:t>
      </w:r>
      <w:r>
        <w:rPr>
          <w:rFonts w:hint="eastAsia" w:ascii="宋体" w:hAnsi="宋体" w:eastAsia="宋体" w:cs="宋体"/>
          <w:color w:val="auto"/>
          <w:lang w:val="en-US" w:eastAsia="zh-CN"/>
        </w:rPr>
        <w:t>中标</w:t>
      </w:r>
      <w:r>
        <w:rPr>
          <w:rFonts w:hint="eastAsia" w:ascii="宋体" w:hAnsi="宋体" w:eastAsia="宋体" w:cs="宋体"/>
          <w:color w:val="auto"/>
        </w:rPr>
        <w:t>通知书》，甲、乙双方同意签订本合同。详细技术说明及其他有关合同项目的特定信息由合同附件予以说明，合同附件及本项目的</w:t>
      </w:r>
      <w:r>
        <w:rPr>
          <w:rFonts w:hint="eastAsia" w:ascii="宋体" w:hAnsi="宋体" w:cs="宋体"/>
          <w:color w:val="auto"/>
          <w:lang w:val="en-US" w:eastAsia="zh-CN"/>
        </w:rPr>
        <w:t>招标文件</w:t>
      </w:r>
      <w:r>
        <w:rPr>
          <w:rFonts w:hint="eastAsia" w:ascii="宋体" w:hAnsi="宋体" w:eastAsia="宋体" w:cs="宋体"/>
          <w:color w:val="auto"/>
        </w:rPr>
        <w:t>、响应文件、《成交通知书》等均为本合同不可分割的部分。双方同意共同遵守如下条款：</w:t>
      </w:r>
    </w:p>
    <w:p w14:paraId="5FE9EC1E">
      <w:pPr>
        <w:numPr>
          <w:ilvl w:val="0"/>
          <w:numId w:val="1"/>
        </w:numPr>
        <w:rPr>
          <w:rFonts w:hint="eastAsia" w:ascii="宋体" w:hAnsi="宋体" w:eastAsia="宋体" w:cs="宋体"/>
          <w:b/>
          <w:color w:val="auto"/>
          <w:sz w:val="24"/>
        </w:rPr>
      </w:pPr>
      <w:r>
        <w:rPr>
          <w:rFonts w:hint="eastAsia" w:ascii="宋体" w:hAnsi="宋体" w:eastAsia="宋体" w:cs="宋体"/>
          <w:b/>
          <w:color w:val="auto"/>
          <w:sz w:val="24"/>
        </w:rPr>
        <w:t>合同货物</w:t>
      </w:r>
    </w:p>
    <w:tbl>
      <w:tblPr>
        <w:tblStyle w:val="3"/>
        <w:tblW w:w="91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85"/>
        <w:gridCol w:w="1027"/>
        <w:gridCol w:w="604"/>
        <w:gridCol w:w="531"/>
        <w:gridCol w:w="1064"/>
        <w:gridCol w:w="1021"/>
        <w:gridCol w:w="784"/>
        <w:gridCol w:w="932"/>
        <w:gridCol w:w="483"/>
        <w:gridCol w:w="483"/>
        <w:gridCol w:w="483"/>
        <w:gridCol w:w="483"/>
      </w:tblGrid>
      <w:tr w14:paraId="39B4A4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1285" w:type="dxa"/>
            <w:vMerge w:val="restart"/>
            <w:tcBorders>
              <w:top w:val="single" w:color="auto" w:sz="4" w:space="0"/>
              <w:left w:val="single" w:color="auto" w:sz="4" w:space="0"/>
              <w:right w:val="single" w:color="auto" w:sz="4" w:space="0"/>
            </w:tcBorders>
            <w:noWrap w:val="0"/>
            <w:vAlign w:val="center"/>
          </w:tcPr>
          <w:p w14:paraId="0A5DA648">
            <w:pPr>
              <w:rPr>
                <w:rFonts w:hint="eastAsia" w:ascii="宋体" w:hAnsi="宋体" w:eastAsia="宋体" w:cs="宋体"/>
                <w:color w:val="auto"/>
                <w:sz w:val="24"/>
                <w:szCs w:val="24"/>
              </w:rPr>
            </w:pPr>
            <w:r>
              <w:rPr>
                <w:rFonts w:hint="eastAsia" w:ascii="宋体" w:hAnsi="宋体" w:eastAsia="宋体" w:cs="宋体"/>
                <w:color w:val="auto"/>
                <w:sz w:val="24"/>
                <w:szCs w:val="24"/>
              </w:rPr>
              <w:t>货物品名</w:t>
            </w:r>
          </w:p>
        </w:tc>
        <w:tc>
          <w:tcPr>
            <w:tcW w:w="1027" w:type="dxa"/>
            <w:vMerge w:val="restart"/>
            <w:tcBorders>
              <w:top w:val="single" w:color="auto" w:sz="4" w:space="0"/>
              <w:left w:val="single" w:color="auto" w:sz="4" w:space="0"/>
              <w:right w:val="single" w:color="auto" w:sz="4" w:space="0"/>
            </w:tcBorders>
            <w:noWrap w:val="0"/>
            <w:vAlign w:val="center"/>
          </w:tcPr>
          <w:p w14:paraId="1D987D84">
            <w:pPr>
              <w:jc w:val="center"/>
              <w:rPr>
                <w:rFonts w:hint="eastAsia" w:ascii="宋体" w:hAnsi="宋体" w:eastAsia="宋体" w:cs="宋体"/>
                <w:color w:val="auto"/>
                <w:sz w:val="24"/>
                <w:szCs w:val="24"/>
              </w:rPr>
            </w:pPr>
            <w:r>
              <w:rPr>
                <w:rFonts w:hint="eastAsia" w:ascii="宋体" w:hAnsi="宋体" w:eastAsia="宋体" w:cs="宋体"/>
                <w:color w:val="auto"/>
                <w:sz w:val="24"/>
                <w:szCs w:val="24"/>
              </w:rPr>
              <w:t>规格</w:t>
            </w:r>
          </w:p>
          <w:p w14:paraId="346C9A0A">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w:t>
            </w:r>
          </w:p>
        </w:tc>
        <w:tc>
          <w:tcPr>
            <w:tcW w:w="604" w:type="dxa"/>
            <w:vMerge w:val="restart"/>
            <w:tcBorders>
              <w:top w:val="single" w:color="auto" w:sz="4" w:space="0"/>
              <w:left w:val="single" w:color="auto" w:sz="4" w:space="0"/>
              <w:right w:val="single" w:color="auto" w:sz="4" w:space="0"/>
            </w:tcBorders>
            <w:noWrap w:val="0"/>
            <w:vAlign w:val="center"/>
          </w:tcPr>
          <w:p w14:paraId="656A9874">
            <w:pP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531" w:type="dxa"/>
            <w:vMerge w:val="restart"/>
            <w:tcBorders>
              <w:top w:val="single" w:color="auto" w:sz="4" w:space="0"/>
              <w:left w:val="single" w:color="auto" w:sz="4" w:space="0"/>
              <w:right w:val="single" w:color="auto" w:sz="4" w:space="0"/>
            </w:tcBorders>
            <w:noWrap w:val="0"/>
            <w:vAlign w:val="center"/>
          </w:tcPr>
          <w:p w14:paraId="2ACB4375">
            <w:pP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1064" w:type="dxa"/>
            <w:vMerge w:val="restart"/>
            <w:tcBorders>
              <w:top w:val="single" w:color="auto" w:sz="4" w:space="0"/>
              <w:left w:val="single" w:color="auto" w:sz="4" w:space="0"/>
              <w:right w:val="single" w:color="auto" w:sz="4" w:space="0"/>
            </w:tcBorders>
            <w:noWrap w:val="0"/>
            <w:vAlign w:val="center"/>
          </w:tcPr>
          <w:p w14:paraId="0A6DB62D">
            <w:pPr>
              <w:ind w:firstLine="120" w:firstLineChars="50"/>
              <w:jc w:val="center"/>
              <w:rPr>
                <w:rFonts w:hint="eastAsia" w:ascii="宋体" w:hAnsi="宋体" w:eastAsia="宋体" w:cs="宋体"/>
                <w:color w:val="auto"/>
                <w:sz w:val="24"/>
                <w:szCs w:val="24"/>
              </w:rPr>
            </w:pPr>
            <w:r>
              <w:rPr>
                <w:rFonts w:hint="eastAsia" w:ascii="宋体" w:hAnsi="宋体" w:eastAsia="宋体" w:cs="宋体"/>
                <w:color w:val="auto"/>
                <w:sz w:val="24"/>
                <w:szCs w:val="24"/>
              </w:rPr>
              <w:t>单价</w:t>
            </w:r>
          </w:p>
          <w:p w14:paraId="791D41F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021" w:type="dxa"/>
            <w:vMerge w:val="restart"/>
            <w:tcBorders>
              <w:top w:val="single" w:color="auto" w:sz="4" w:space="0"/>
              <w:left w:val="single" w:color="auto" w:sz="4" w:space="0"/>
              <w:right w:val="single" w:color="auto" w:sz="4" w:space="0"/>
            </w:tcBorders>
            <w:noWrap w:val="0"/>
            <w:vAlign w:val="center"/>
          </w:tcPr>
          <w:p w14:paraId="467EE6DC">
            <w:pPr>
              <w:ind w:leftChars="-1" w:right="-88" w:rightChars="-42" w:hanging="2" w:hangingChars="1"/>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p>
          <w:p w14:paraId="66533E4A">
            <w:pPr>
              <w:ind w:leftChars="-1" w:right="-88" w:rightChars="-42" w:hanging="2" w:hangingChars="1"/>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784" w:type="dxa"/>
            <w:vMerge w:val="restart"/>
            <w:tcBorders>
              <w:top w:val="single" w:color="auto" w:sz="4" w:space="0"/>
              <w:left w:val="single" w:color="auto" w:sz="4" w:space="0"/>
              <w:right w:val="single" w:color="auto" w:sz="4" w:space="0"/>
            </w:tcBorders>
            <w:noWrap w:val="0"/>
            <w:vAlign w:val="center"/>
          </w:tcPr>
          <w:p w14:paraId="64002CFD">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随机</w:t>
            </w:r>
          </w:p>
          <w:p w14:paraId="040352CC">
            <w:pPr>
              <w:jc w:val="center"/>
              <w:rPr>
                <w:rFonts w:hint="eastAsia" w:ascii="宋体" w:hAnsi="宋体" w:eastAsia="宋体" w:cs="宋体"/>
                <w:color w:val="auto"/>
                <w:sz w:val="24"/>
                <w:szCs w:val="24"/>
              </w:rPr>
            </w:pPr>
            <w:r>
              <w:rPr>
                <w:rFonts w:hint="eastAsia" w:ascii="宋体" w:hAnsi="宋体" w:eastAsia="宋体" w:cs="宋体"/>
                <w:color w:val="auto"/>
                <w:sz w:val="24"/>
                <w:szCs w:val="24"/>
              </w:rPr>
              <w:t>配件</w:t>
            </w:r>
          </w:p>
        </w:tc>
        <w:tc>
          <w:tcPr>
            <w:tcW w:w="932" w:type="dxa"/>
            <w:vMerge w:val="restart"/>
            <w:tcBorders>
              <w:top w:val="single" w:color="auto" w:sz="4" w:space="0"/>
              <w:left w:val="single" w:color="auto" w:sz="4" w:space="0"/>
              <w:right w:val="single" w:color="auto" w:sz="4" w:space="0"/>
            </w:tcBorders>
            <w:noWrap w:val="0"/>
            <w:vAlign w:val="center"/>
          </w:tcPr>
          <w:p w14:paraId="4CEF3C2D">
            <w:pPr>
              <w:spacing w:line="400" w:lineRule="exact"/>
              <w:ind w:leftChars="-22" w:hanging="52" w:hangingChars="22"/>
              <w:rPr>
                <w:rFonts w:hint="eastAsia" w:ascii="宋体" w:hAnsi="宋体" w:eastAsia="宋体" w:cs="宋体"/>
                <w:color w:val="auto"/>
                <w:sz w:val="24"/>
                <w:szCs w:val="24"/>
              </w:rPr>
            </w:pPr>
            <w:r>
              <w:rPr>
                <w:rFonts w:hint="eastAsia" w:ascii="宋体" w:hAnsi="宋体" w:eastAsia="宋体" w:cs="宋体"/>
                <w:color w:val="auto"/>
                <w:sz w:val="24"/>
                <w:szCs w:val="24"/>
              </w:rPr>
              <w:t>交货期</w:t>
            </w:r>
          </w:p>
        </w:tc>
        <w:tc>
          <w:tcPr>
            <w:tcW w:w="1932" w:type="dxa"/>
            <w:gridSpan w:val="4"/>
            <w:tcBorders>
              <w:top w:val="single" w:color="auto" w:sz="4" w:space="0"/>
              <w:left w:val="single" w:color="auto" w:sz="4" w:space="0"/>
              <w:bottom w:val="single" w:color="auto" w:sz="4" w:space="0"/>
              <w:right w:val="single" w:color="auto" w:sz="4" w:space="0"/>
            </w:tcBorders>
            <w:noWrap w:val="0"/>
            <w:vAlign w:val="center"/>
          </w:tcPr>
          <w:p w14:paraId="3D1901E0">
            <w:pPr>
              <w:autoSpaceDE w:val="0"/>
              <w:autoSpaceDN w:val="0"/>
              <w:adjustRightInd w:val="0"/>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资金来源（万元）</w:t>
            </w:r>
          </w:p>
        </w:tc>
      </w:tr>
      <w:tr w14:paraId="6BD7E0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0" w:hRule="atLeast"/>
          <w:jc w:val="center"/>
        </w:trPr>
        <w:tc>
          <w:tcPr>
            <w:tcW w:w="1285" w:type="dxa"/>
            <w:vMerge w:val="continue"/>
            <w:tcBorders>
              <w:left w:val="single" w:color="auto" w:sz="4" w:space="0"/>
              <w:bottom w:val="single" w:color="auto" w:sz="4" w:space="0"/>
              <w:right w:val="single" w:color="auto" w:sz="4" w:space="0"/>
            </w:tcBorders>
            <w:noWrap w:val="0"/>
            <w:vAlign w:val="center"/>
          </w:tcPr>
          <w:p w14:paraId="17881DB5">
            <w:pPr>
              <w:spacing w:line="400" w:lineRule="exact"/>
              <w:ind w:firstLine="240" w:firstLineChars="100"/>
              <w:rPr>
                <w:rFonts w:hint="eastAsia" w:ascii="宋体" w:hAnsi="宋体" w:eastAsia="宋体" w:cs="宋体"/>
                <w:color w:val="auto"/>
                <w:sz w:val="24"/>
                <w:szCs w:val="24"/>
              </w:rPr>
            </w:pPr>
          </w:p>
        </w:tc>
        <w:tc>
          <w:tcPr>
            <w:tcW w:w="1027" w:type="dxa"/>
            <w:vMerge w:val="continue"/>
            <w:tcBorders>
              <w:left w:val="single" w:color="auto" w:sz="4" w:space="0"/>
              <w:bottom w:val="single" w:color="auto" w:sz="4" w:space="0"/>
              <w:right w:val="single" w:color="auto" w:sz="4" w:space="0"/>
            </w:tcBorders>
            <w:noWrap w:val="0"/>
            <w:vAlign w:val="center"/>
          </w:tcPr>
          <w:p w14:paraId="4FAB3B53">
            <w:pPr>
              <w:spacing w:line="400" w:lineRule="exact"/>
              <w:jc w:val="center"/>
              <w:rPr>
                <w:rFonts w:hint="eastAsia" w:ascii="宋体" w:hAnsi="宋体" w:eastAsia="宋体" w:cs="宋体"/>
                <w:color w:val="auto"/>
                <w:sz w:val="24"/>
                <w:szCs w:val="24"/>
              </w:rPr>
            </w:pPr>
          </w:p>
        </w:tc>
        <w:tc>
          <w:tcPr>
            <w:tcW w:w="604" w:type="dxa"/>
            <w:vMerge w:val="continue"/>
            <w:tcBorders>
              <w:left w:val="single" w:color="auto" w:sz="4" w:space="0"/>
              <w:bottom w:val="single" w:color="auto" w:sz="4" w:space="0"/>
              <w:right w:val="single" w:color="auto" w:sz="4" w:space="0"/>
            </w:tcBorders>
            <w:noWrap w:val="0"/>
            <w:vAlign w:val="center"/>
          </w:tcPr>
          <w:p w14:paraId="7337C33A">
            <w:pPr>
              <w:spacing w:line="400" w:lineRule="exact"/>
              <w:rPr>
                <w:rFonts w:hint="eastAsia" w:ascii="宋体" w:hAnsi="宋体" w:eastAsia="宋体" w:cs="宋体"/>
                <w:color w:val="auto"/>
                <w:sz w:val="24"/>
                <w:szCs w:val="24"/>
              </w:rPr>
            </w:pPr>
          </w:p>
        </w:tc>
        <w:tc>
          <w:tcPr>
            <w:tcW w:w="531" w:type="dxa"/>
            <w:vMerge w:val="continue"/>
            <w:tcBorders>
              <w:left w:val="single" w:color="auto" w:sz="4" w:space="0"/>
              <w:bottom w:val="single" w:color="auto" w:sz="4" w:space="0"/>
              <w:right w:val="single" w:color="auto" w:sz="4" w:space="0"/>
            </w:tcBorders>
            <w:noWrap w:val="0"/>
            <w:vAlign w:val="center"/>
          </w:tcPr>
          <w:p w14:paraId="2B796EF8">
            <w:pPr>
              <w:spacing w:line="400" w:lineRule="exact"/>
              <w:ind w:firstLine="120" w:firstLineChars="50"/>
              <w:rPr>
                <w:rFonts w:hint="eastAsia" w:ascii="宋体" w:hAnsi="宋体" w:eastAsia="宋体" w:cs="宋体"/>
                <w:color w:val="auto"/>
                <w:sz w:val="24"/>
                <w:szCs w:val="24"/>
              </w:rPr>
            </w:pPr>
          </w:p>
        </w:tc>
        <w:tc>
          <w:tcPr>
            <w:tcW w:w="1064" w:type="dxa"/>
            <w:vMerge w:val="continue"/>
            <w:tcBorders>
              <w:left w:val="single" w:color="auto" w:sz="4" w:space="0"/>
              <w:bottom w:val="single" w:color="auto" w:sz="4" w:space="0"/>
              <w:right w:val="single" w:color="auto" w:sz="4" w:space="0"/>
            </w:tcBorders>
            <w:noWrap w:val="0"/>
            <w:vAlign w:val="center"/>
          </w:tcPr>
          <w:p w14:paraId="3B13BF7D">
            <w:pPr>
              <w:spacing w:line="400" w:lineRule="exact"/>
              <w:ind w:firstLine="120" w:firstLineChars="50"/>
              <w:jc w:val="center"/>
              <w:rPr>
                <w:rFonts w:hint="eastAsia" w:ascii="宋体" w:hAnsi="宋体" w:eastAsia="宋体" w:cs="宋体"/>
                <w:color w:val="auto"/>
                <w:sz w:val="24"/>
                <w:szCs w:val="24"/>
              </w:rPr>
            </w:pPr>
          </w:p>
        </w:tc>
        <w:tc>
          <w:tcPr>
            <w:tcW w:w="1021" w:type="dxa"/>
            <w:vMerge w:val="continue"/>
            <w:tcBorders>
              <w:left w:val="single" w:color="auto" w:sz="4" w:space="0"/>
              <w:bottom w:val="single" w:color="auto" w:sz="4" w:space="0"/>
              <w:right w:val="single" w:color="auto" w:sz="4" w:space="0"/>
            </w:tcBorders>
            <w:noWrap w:val="0"/>
            <w:vAlign w:val="center"/>
          </w:tcPr>
          <w:p w14:paraId="2C240B92">
            <w:pPr>
              <w:spacing w:line="400" w:lineRule="exact"/>
              <w:ind w:firstLine="240" w:firstLineChars="100"/>
              <w:rPr>
                <w:rFonts w:hint="eastAsia" w:ascii="宋体" w:hAnsi="宋体" w:eastAsia="宋体" w:cs="宋体"/>
                <w:color w:val="auto"/>
                <w:sz w:val="24"/>
                <w:szCs w:val="24"/>
              </w:rPr>
            </w:pPr>
          </w:p>
        </w:tc>
        <w:tc>
          <w:tcPr>
            <w:tcW w:w="784" w:type="dxa"/>
            <w:vMerge w:val="continue"/>
            <w:tcBorders>
              <w:left w:val="single" w:color="auto" w:sz="4" w:space="0"/>
              <w:bottom w:val="single" w:color="auto" w:sz="4" w:space="0"/>
              <w:right w:val="single" w:color="auto" w:sz="4" w:space="0"/>
            </w:tcBorders>
            <w:noWrap w:val="0"/>
            <w:vAlign w:val="center"/>
          </w:tcPr>
          <w:p w14:paraId="27924CF5">
            <w:pPr>
              <w:spacing w:line="400" w:lineRule="exact"/>
              <w:jc w:val="center"/>
              <w:rPr>
                <w:rFonts w:hint="eastAsia" w:ascii="宋体" w:hAnsi="宋体" w:eastAsia="宋体" w:cs="宋体"/>
                <w:color w:val="auto"/>
                <w:sz w:val="24"/>
                <w:szCs w:val="24"/>
              </w:rPr>
            </w:pPr>
          </w:p>
        </w:tc>
        <w:tc>
          <w:tcPr>
            <w:tcW w:w="932" w:type="dxa"/>
            <w:vMerge w:val="continue"/>
            <w:tcBorders>
              <w:left w:val="single" w:color="auto" w:sz="4" w:space="0"/>
              <w:bottom w:val="single" w:color="auto" w:sz="4" w:space="0"/>
              <w:right w:val="single" w:color="auto" w:sz="4" w:space="0"/>
            </w:tcBorders>
            <w:noWrap w:val="0"/>
            <w:vAlign w:val="center"/>
          </w:tcPr>
          <w:p w14:paraId="73D8805A">
            <w:pPr>
              <w:spacing w:line="400" w:lineRule="exact"/>
              <w:ind w:firstLine="120" w:firstLineChars="50"/>
              <w:rPr>
                <w:rFonts w:hint="eastAsia" w:ascii="宋体" w:hAnsi="宋体" w:eastAsia="宋体" w:cs="宋体"/>
                <w:color w:val="auto"/>
                <w:sz w:val="24"/>
                <w:szCs w:val="24"/>
              </w:rPr>
            </w:pPr>
          </w:p>
        </w:tc>
        <w:tc>
          <w:tcPr>
            <w:tcW w:w="483" w:type="dxa"/>
            <w:tcBorders>
              <w:top w:val="single" w:color="auto" w:sz="4" w:space="0"/>
              <w:left w:val="single" w:color="auto" w:sz="4" w:space="0"/>
              <w:bottom w:val="single" w:color="auto" w:sz="4" w:space="0"/>
              <w:right w:val="single" w:color="auto" w:sz="4" w:space="0"/>
            </w:tcBorders>
            <w:noWrap w:val="0"/>
            <w:vAlign w:val="center"/>
          </w:tcPr>
          <w:p w14:paraId="5438C0B4">
            <w:pPr>
              <w:autoSpaceDE w:val="0"/>
              <w:autoSpaceDN w:val="0"/>
              <w:adjustRightInd w:val="0"/>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预算内</w:t>
            </w:r>
          </w:p>
        </w:tc>
        <w:tc>
          <w:tcPr>
            <w:tcW w:w="483" w:type="dxa"/>
            <w:tcBorders>
              <w:top w:val="single" w:color="auto" w:sz="4" w:space="0"/>
              <w:left w:val="single" w:color="auto" w:sz="4" w:space="0"/>
              <w:bottom w:val="single" w:color="auto" w:sz="4" w:space="0"/>
              <w:right w:val="single" w:color="auto" w:sz="4" w:space="0"/>
            </w:tcBorders>
            <w:noWrap w:val="0"/>
            <w:vAlign w:val="center"/>
          </w:tcPr>
          <w:p w14:paraId="43D7AEA4">
            <w:pPr>
              <w:autoSpaceDE w:val="0"/>
              <w:autoSpaceDN w:val="0"/>
              <w:adjustRightInd w:val="0"/>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预算外</w:t>
            </w:r>
          </w:p>
        </w:tc>
        <w:tc>
          <w:tcPr>
            <w:tcW w:w="483" w:type="dxa"/>
            <w:tcBorders>
              <w:top w:val="single" w:color="auto" w:sz="4" w:space="0"/>
              <w:left w:val="single" w:color="auto" w:sz="4" w:space="0"/>
              <w:bottom w:val="single" w:color="auto" w:sz="4" w:space="0"/>
              <w:right w:val="single" w:color="auto" w:sz="4" w:space="0"/>
            </w:tcBorders>
            <w:noWrap w:val="0"/>
            <w:vAlign w:val="center"/>
          </w:tcPr>
          <w:p w14:paraId="5BC0789B">
            <w:pPr>
              <w:autoSpaceDE w:val="0"/>
              <w:autoSpaceDN w:val="0"/>
              <w:adjustRightInd w:val="0"/>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自</w:t>
            </w:r>
          </w:p>
          <w:p w14:paraId="5341E402">
            <w:pPr>
              <w:autoSpaceDE w:val="0"/>
              <w:autoSpaceDN w:val="0"/>
              <w:adjustRightInd w:val="0"/>
              <w:jc w:val="center"/>
              <w:rPr>
                <w:rFonts w:hint="eastAsia" w:ascii="宋体" w:hAnsi="宋体" w:eastAsia="宋体" w:cs="宋体"/>
                <w:color w:val="auto"/>
                <w:sz w:val="24"/>
                <w:szCs w:val="24"/>
                <w:lang w:val="zh-CN"/>
              </w:rPr>
            </w:pPr>
          </w:p>
          <w:p w14:paraId="6B56A496">
            <w:pPr>
              <w:autoSpaceDE w:val="0"/>
              <w:autoSpaceDN w:val="0"/>
              <w:adjustRightInd w:val="0"/>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筹</w:t>
            </w:r>
          </w:p>
        </w:tc>
        <w:tc>
          <w:tcPr>
            <w:tcW w:w="483" w:type="dxa"/>
            <w:tcBorders>
              <w:top w:val="single" w:color="auto" w:sz="4" w:space="0"/>
              <w:left w:val="single" w:color="auto" w:sz="4" w:space="0"/>
              <w:bottom w:val="single" w:color="auto" w:sz="4" w:space="0"/>
              <w:right w:val="single" w:color="auto" w:sz="4" w:space="0"/>
            </w:tcBorders>
            <w:noWrap w:val="0"/>
            <w:vAlign w:val="center"/>
          </w:tcPr>
          <w:p w14:paraId="59E19AF3">
            <w:pPr>
              <w:autoSpaceDE w:val="0"/>
              <w:autoSpaceDN w:val="0"/>
              <w:adjustRightInd w:val="0"/>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其</w:t>
            </w:r>
          </w:p>
          <w:p w14:paraId="68EC0C94">
            <w:pPr>
              <w:autoSpaceDE w:val="0"/>
              <w:autoSpaceDN w:val="0"/>
              <w:adjustRightInd w:val="0"/>
              <w:jc w:val="center"/>
              <w:rPr>
                <w:rFonts w:hint="eastAsia" w:ascii="宋体" w:hAnsi="宋体" w:eastAsia="宋体" w:cs="宋体"/>
                <w:color w:val="auto"/>
                <w:sz w:val="24"/>
                <w:szCs w:val="24"/>
                <w:lang w:val="zh-CN"/>
              </w:rPr>
            </w:pPr>
          </w:p>
          <w:p w14:paraId="3A81985D">
            <w:pPr>
              <w:autoSpaceDE w:val="0"/>
              <w:autoSpaceDN w:val="0"/>
              <w:adjustRightInd w:val="0"/>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他</w:t>
            </w:r>
          </w:p>
        </w:tc>
      </w:tr>
      <w:tr w14:paraId="7982E4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285" w:type="dxa"/>
            <w:tcBorders>
              <w:top w:val="single" w:color="auto" w:sz="4" w:space="0"/>
              <w:left w:val="single" w:color="auto" w:sz="4" w:space="0"/>
              <w:bottom w:val="single" w:color="auto" w:sz="4" w:space="0"/>
              <w:right w:val="single" w:color="auto" w:sz="4" w:space="0"/>
            </w:tcBorders>
            <w:noWrap w:val="0"/>
            <w:vAlign w:val="center"/>
          </w:tcPr>
          <w:p w14:paraId="7C04ED8B">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673553BE">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604" w:type="dxa"/>
            <w:tcBorders>
              <w:top w:val="single" w:color="auto" w:sz="4" w:space="0"/>
              <w:left w:val="single" w:color="auto" w:sz="4" w:space="0"/>
              <w:bottom w:val="single" w:color="auto" w:sz="4" w:space="0"/>
              <w:right w:val="single" w:color="auto" w:sz="4" w:space="0"/>
            </w:tcBorders>
            <w:noWrap w:val="0"/>
            <w:vAlign w:val="center"/>
          </w:tcPr>
          <w:p w14:paraId="7B3E66A6">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531" w:type="dxa"/>
            <w:tcBorders>
              <w:top w:val="single" w:color="auto" w:sz="4" w:space="0"/>
              <w:left w:val="single" w:color="auto" w:sz="4" w:space="0"/>
              <w:bottom w:val="single" w:color="auto" w:sz="4" w:space="0"/>
              <w:right w:val="single" w:color="auto" w:sz="4" w:space="0"/>
            </w:tcBorders>
            <w:noWrap w:val="0"/>
            <w:vAlign w:val="center"/>
          </w:tcPr>
          <w:p w14:paraId="0705D9C7">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1064" w:type="dxa"/>
            <w:tcBorders>
              <w:top w:val="single" w:color="auto" w:sz="4" w:space="0"/>
              <w:left w:val="single" w:color="auto" w:sz="4" w:space="0"/>
              <w:bottom w:val="single" w:color="auto" w:sz="4" w:space="0"/>
              <w:right w:val="single" w:color="auto" w:sz="4" w:space="0"/>
            </w:tcBorders>
            <w:noWrap w:val="0"/>
            <w:vAlign w:val="center"/>
          </w:tcPr>
          <w:p w14:paraId="72C5F791">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34A14E30">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784" w:type="dxa"/>
            <w:tcBorders>
              <w:top w:val="single" w:color="auto" w:sz="4" w:space="0"/>
              <w:left w:val="single" w:color="auto" w:sz="4" w:space="0"/>
              <w:bottom w:val="single" w:color="auto" w:sz="4" w:space="0"/>
              <w:right w:val="single" w:color="auto" w:sz="4" w:space="0"/>
            </w:tcBorders>
            <w:noWrap w:val="0"/>
            <w:vAlign w:val="center"/>
          </w:tcPr>
          <w:p w14:paraId="474BA01D">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932" w:type="dxa"/>
            <w:tcBorders>
              <w:top w:val="single" w:color="auto" w:sz="4" w:space="0"/>
              <w:left w:val="single" w:color="auto" w:sz="4" w:space="0"/>
              <w:bottom w:val="single" w:color="auto" w:sz="4" w:space="0"/>
              <w:right w:val="single" w:color="auto" w:sz="4" w:space="0"/>
            </w:tcBorders>
            <w:noWrap w:val="0"/>
            <w:vAlign w:val="center"/>
          </w:tcPr>
          <w:p w14:paraId="4C3244CE">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483" w:type="dxa"/>
            <w:tcBorders>
              <w:top w:val="single" w:color="auto" w:sz="4" w:space="0"/>
              <w:left w:val="single" w:color="auto" w:sz="4" w:space="0"/>
              <w:bottom w:val="single" w:color="auto" w:sz="4" w:space="0"/>
              <w:right w:val="single" w:color="auto" w:sz="4" w:space="0"/>
            </w:tcBorders>
            <w:noWrap w:val="0"/>
            <w:vAlign w:val="top"/>
          </w:tcPr>
          <w:p w14:paraId="3CF0A033">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3795F127">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1F0C0973">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7A82AD50">
            <w:pPr>
              <w:spacing w:line="400" w:lineRule="exact"/>
              <w:jc w:val="center"/>
              <w:rPr>
                <w:rFonts w:hint="eastAsia" w:ascii="宋体" w:hAnsi="宋体" w:eastAsia="宋体" w:cs="宋体"/>
                <w:color w:val="auto"/>
                <w:sz w:val="24"/>
              </w:rPr>
            </w:pPr>
          </w:p>
        </w:tc>
      </w:tr>
      <w:tr w14:paraId="2F6E9A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285" w:type="dxa"/>
            <w:tcBorders>
              <w:top w:val="single" w:color="auto" w:sz="4" w:space="0"/>
              <w:left w:val="single" w:color="auto" w:sz="4" w:space="0"/>
              <w:bottom w:val="single" w:color="auto" w:sz="4" w:space="0"/>
              <w:right w:val="single" w:color="auto" w:sz="4" w:space="0"/>
            </w:tcBorders>
            <w:noWrap w:val="0"/>
            <w:vAlign w:val="center"/>
          </w:tcPr>
          <w:p w14:paraId="3A448EDD">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1027" w:type="dxa"/>
            <w:tcBorders>
              <w:top w:val="single" w:color="auto" w:sz="4" w:space="0"/>
              <w:left w:val="single" w:color="auto" w:sz="4" w:space="0"/>
              <w:bottom w:val="single" w:color="auto" w:sz="4" w:space="0"/>
              <w:right w:val="single" w:color="auto" w:sz="4" w:space="0"/>
            </w:tcBorders>
            <w:noWrap w:val="0"/>
            <w:vAlign w:val="center"/>
          </w:tcPr>
          <w:p w14:paraId="51A9D948">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604" w:type="dxa"/>
            <w:tcBorders>
              <w:top w:val="single" w:color="auto" w:sz="4" w:space="0"/>
              <w:left w:val="single" w:color="auto" w:sz="4" w:space="0"/>
              <w:bottom w:val="single" w:color="auto" w:sz="4" w:space="0"/>
              <w:right w:val="single" w:color="auto" w:sz="4" w:space="0"/>
            </w:tcBorders>
            <w:noWrap w:val="0"/>
            <w:vAlign w:val="center"/>
          </w:tcPr>
          <w:p w14:paraId="6999FA04">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531" w:type="dxa"/>
            <w:tcBorders>
              <w:top w:val="single" w:color="auto" w:sz="4" w:space="0"/>
              <w:left w:val="single" w:color="auto" w:sz="4" w:space="0"/>
              <w:bottom w:val="single" w:color="auto" w:sz="4" w:space="0"/>
              <w:right w:val="single" w:color="auto" w:sz="4" w:space="0"/>
            </w:tcBorders>
            <w:noWrap w:val="0"/>
            <w:vAlign w:val="center"/>
          </w:tcPr>
          <w:p w14:paraId="2A737E46">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1064" w:type="dxa"/>
            <w:tcBorders>
              <w:top w:val="single" w:color="auto" w:sz="4" w:space="0"/>
              <w:left w:val="single" w:color="auto" w:sz="4" w:space="0"/>
              <w:bottom w:val="single" w:color="auto" w:sz="4" w:space="0"/>
              <w:right w:val="single" w:color="auto" w:sz="4" w:space="0"/>
            </w:tcBorders>
            <w:noWrap w:val="0"/>
            <w:vAlign w:val="center"/>
          </w:tcPr>
          <w:p w14:paraId="6E04CF8F">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1021" w:type="dxa"/>
            <w:tcBorders>
              <w:top w:val="single" w:color="auto" w:sz="4" w:space="0"/>
              <w:left w:val="single" w:color="auto" w:sz="4" w:space="0"/>
              <w:bottom w:val="single" w:color="auto" w:sz="4" w:space="0"/>
              <w:right w:val="single" w:color="auto" w:sz="4" w:space="0"/>
            </w:tcBorders>
            <w:noWrap w:val="0"/>
            <w:vAlign w:val="center"/>
          </w:tcPr>
          <w:p w14:paraId="08103B2E">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784" w:type="dxa"/>
            <w:tcBorders>
              <w:top w:val="single" w:color="auto" w:sz="4" w:space="0"/>
              <w:left w:val="single" w:color="auto" w:sz="4" w:space="0"/>
              <w:bottom w:val="single" w:color="auto" w:sz="4" w:space="0"/>
              <w:right w:val="single" w:color="auto" w:sz="4" w:space="0"/>
            </w:tcBorders>
            <w:noWrap w:val="0"/>
            <w:vAlign w:val="center"/>
          </w:tcPr>
          <w:p w14:paraId="7AA347D0">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932" w:type="dxa"/>
            <w:tcBorders>
              <w:top w:val="single" w:color="auto" w:sz="4" w:space="0"/>
              <w:left w:val="single" w:color="auto" w:sz="4" w:space="0"/>
              <w:bottom w:val="single" w:color="auto" w:sz="4" w:space="0"/>
              <w:right w:val="single" w:color="auto" w:sz="4" w:space="0"/>
            </w:tcBorders>
            <w:noWrap w:val="0"/>
            <w:vAlign w:val="center"/>
          </w:tcPr>
          <w:p w14:paraId="403E90D0">
            <w:pPr>
              <w:spacing w:line="400" w:lineRule="exact"/>
              <w:jc w:val="center"/>
              <w:rPr>
                <w:rFonts w:hint="eastAsia" w:ascii="宋体" w:hAnsi="宋体" w:eastAsia="宋体" w:cs="宋体"/>
                <w:color w:val="auto"/>
                <w:sz w:val="24"/>
              </w:rPr>
            </w:pPr>
            <w:r>
              <w:rPr>
                <w:rFonts w:hint="eastAsia" w:ascii="宋体" w:hAnsi="宋体" w:eastAsia="宋体" w:cs="宋体"/>
                <w:color w:val="auto"/>
                <w:sz w:val="24"/>
              </w:rPr>
              <w:t> </w:t>
            </w:r>
          </w:p>
        </w:tc>
        <w:tc>
          <w:tcPr>
            <w:tcW w:w="483" w:type="dxa"/>
            <w:tcBorders>
              <w:top w:val="single" w:color="auto" w:sz="4" w:space="0"/>
              <w:left w:val="single" w:color="auto" w:sz="4" w:space="0"/>
              <w:bottom w:val="single" w:color="auto" w:sz="4" w:space="0"/>
              <w:right w:val="single" w:color="auto" w:sz="4" w:space="0"/>
            </w:tcBorders>
            <w:noWrap w:val="0"/>
            <w:vAlign w:val="top"/>
          </w:tcPr>
          <w:p w14:paraId="37432A15">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0A01F6B6">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3F5C2A31">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06DEECF2">
            <w:pPr>
              <w:spacing w:line="400" w:lineRule="exact"/>
              <w:jc w:val="center"/>
              <w:rPr>
                <w:rFonts w:hint="eastAsia" w:ascii="宋体" w:hAnsi="宋体" w:eastAsia="宋体" w:cs="宋体"/>
                <w:color w:val="auto"/>
                <w:sz w:val="24"/>
              </w:rPr>
            </w:pPr>
          </w:p>
        </w:tc>
      </w:tr>
      <w:tr w14:paraId="1F3255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285" w:type="dxa"/>
            <w:tcBorders>
              <w:top w:val="single" w:color="auto" w:sz="4" w:space="0"/>
              <w:left w:val="single" w:color="auto" w:sz="4" w:space="0"/>
              <w:bottom w:val="single" w:color="auto" w:sz="4" w:space="0"/>
              <w:right w:val="single" w:color="auto" w:sz="4" w:space="0"/>
            </w:tcBorders>
            <w:noWrap w:val="0"/>
            <w:vAlign w:val="center"/>
          </w:tcPr>
          <w:p w14:paraId="0C0D5EEA">
            <w:pPr>
              <w:spacing w:line="400" w:lineRule="exact"/>
              <w:jc w:val="center"/>
              <w:rPr>
                <w:rFonts w:hint="eastAsia" w:ascii="宋体" w:hAnsi="宋体" w:eastAsia="宋体" w:cs="宋体"/>
                <w:color w:val="auto"/>
                <w:sz w:val="24"/>
              </w:rPr>
            </w:pPr>
          </w:p>
        </w:tc>
        <w:tc>
          <w:tcPr>
            <w:tcW w:w="1027" w:type="dxa"/>
            <w:tcBorders>
              <w:top w:val="single" w:color="auto" w:sz="4" w:space="0"/>
              <w:left w:val="single" w:color="auto" w:sz="4" w:space="0"/>
              <w:bottom w:val="single" w:color="auto" w:sz="4" w:space="0"/>
              <w:right w:val="single" w:color="auto" w:sz="4" w:space="0"/>
            </w:tcBorders>
            <w:noWrap w:val="0"/>
            <w:vAlign w:val="center"/>
          </w:tcPr>
          <w:p w14:paraId="398E55CF">
            <w:pPr>
              <w:spacing w:line="400" w:lineRule="exact"/>
              <w:jc w:val="center"/>
              <w:rPr>
                <w:rFonts w:hint="eastAsia" w:ascii="宋体" w:hAnsi="宋体" w:eastAsia="宋体" w:cs="宋体"/>
                <w:color w:val="auto"/>
                <w:sz w:val="24"/>
              </w:rPr>
            </w:pPr>
          </w:p>
        </w:tc>
        <w:tc>
          <w:tcPr>
            <w:tcW w:w="604" w:type="dxa"/>
            <w:tcBorders>
              <w:top w:val="single" w:color="auto" w:sz="4" w:space="0"/>
              <w:left w:val="single" w:color="auto" w:sz="4" w:space="0"/>
              <w:bottom w:val="single" w:color="auto" w:sz="4" w:space="0"/>
              <w:right w:val="single" w:color="auto" w:sz="4" w:space="0"/>
            </w:tcBorders>
            <w:noWrap w:val="0"/>
            <w:vAlign w:val="center"/>
          </w:tcPr>
          <w:p w14:paraId="4CC35834">
            <w:pPr>
              <w:spacing w:line="400" w:lineRule="exact"/>
              <w:jc w:val="center"/>
              <w:rPr>
                <w:rFonts w:hint="eastAsia" w:ascii="宋体" w:hAnsi="宋体" w:eastAsia="宋体" w:cs="宋体"/>
                <w:color w:val="auto"/>
                <w:sz w:val="24"/>
              </w:rPr>
            </w:pPr>
          </w:p>
        </w:tc>
        <w:tc>
          <w:tcPr>
            <w:tcW w:w="531" w:type="dxa"/>
            <w:tcBorders>
              <w:top w:val="single" w:color="auto" w:sz="4" w:space="0"/>
              <w:left w:val="single" w:color="auto" w:sz="4" w:space="0"/>
              <w:bottom w:val="single" w:color="auto" w:sz="4" w:space="0"/>
              <w:right w:val="single" w:color="auto" w:sz="4" w:space="0"/>
            </w:tcBorders>
            <w:noWrap w:val="0"/>
            <w:vAlign w:val="center"/>
          </w:tcPr>
          <w:p w14:paraId="74511513">
            <w:pPr>
              <w:spacing w:line="400" w:lineRule="exact"/>
              <w:jc w:val="center"/>
              <w:rPr>
                <w:rFonts w:hint="eastAsia" w:ascii="宋体" w:hAnsi="宋体" w:eastAsia="宋体" w:cs="宋体"/>
                <w:color w:val="auto"/>
                <w:sz w:val="24"/>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14:paraId="62B5C263">
            <w:pPr>
              <w:spacing w:line="400" w:lineRule="exact"/>
              <w:jc w:val="center"/>
              <w:rPr>
                <w:rFonts w:hint="eastAsia" w:ascii="宋体" w:hAnsi="宋体" w:eastAsia="宋体" w:cs="宋体"/>
                <w:color w:val="auto"/>
                <w:sz w:val="24"/>
              </w:rPr>
            </w:pPr>
          </w:p>
        </w:tc>
        <w:tc>
          <w:tcPr>
            <w:tcW w:w="1021" w:type="dxa"/>
            <w:tcBorders>
              <w:top w:val="single" w:color="auto" w:sz="4" w:space="0"/>
              <w:left w:val="single" w:color="auto" w:sz="4" w:space="0"/>
              <w:bottom w:val="single" w:color="auto" w:sz="4" w:space="0"/>
              <w:right w:val="single" w:color="auto" w:sz="4" w:space="0"/>
            </w:tcBorders>
            <w:noWrap w:val="0"/>
            <w:vAlign w:val="center"/>
          </w:tcPr>
          <w:p w14:paraId="76D20EAB">
            <w:pPr>
              <w:spacing w:line="400" w:lineRule="exact"/>
              <w:jc w:val="center"/>
              <w:rPr>
                <w:rFonts w:hint="eastAsia" w:ascii="宋体" w:hAnsi="宋体" w:eastAsia="宋体" w:cs="宋体"/>
                <w:color w:val="auto"/>
                <w:sz w:val="24"/>
              </w:rPr>
            </w:pPr>
          </w:p>
        </w:tc>
        <w:tc>
          <w:tcPr>
            <w:tcW w:w="784" w:type="dxa"/>
            <w:tcBorders>
              <w:top w:val="single" w:color="auto" w:sz="4" w:space="0"/>
              <w:left w:val="single" w:color="auto" w:sz="4" w:space="0"/>
              <w:bottom w:val="single" w:color="auto" w:sz="4" w:space="0"/>
              <w:right w:val="single" w:color="auto" w:sz="4" w:space="0"/>
            </w:tcBorders>
            <w:noWrap w:val="0"/>
            <w:vAlign w:val="center"/>
          </w:tcPr>
          <w:p w14:paraId="6B973081">
            <w:pPr>
              <w:spacing w:line="400" w:lineRule="exact"/>
              <w:jc w:val="center"/>
              <w:rPr>
                <w:rFonts w:hint="eastAsia" w:ascii="宋体" w:hAnsi="宋体" w:eastAsia="宋体" w:cs="宋体"/>
                <w:color w:val="auto"/>
                <w:sz w:val="24"/>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0F860EFA">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729E9BA3">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3F6850ED">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7FFAF0D3">
            <w:pPr>
              <w:spacing w:line="400" w:lineRule="exact"/>
              <w:jc w:val="center"/>
              <w:rPr>
                <w:rFonts w:hint="eastAsia" w:ascii="宋体" w:hAnsi="宋体" w:eastAsia="宋体" w:cs="宋体"/>
                <w:color w:val="auto"/>
                <w:sz w:val="24"/>
              </w:rPr>
            </w:pPr>
          </w:p>
        </w:tc>
        <w:tc>
          <w:tcPr>
            <w:tcW w:w="483" w:type="dxa"/>
            <w:tcBorders>
              <w:top w:val="single" w:color="auto" w:sz="4" w:space="0"/>
              <w:left w:val="single" w:color="auto" w:sz="4" w:space="0"/>
              <w:bottom w:val="single" w:color="auto" w:sz="4" w:space="0"/>
              <w:right w:val="single" w:color="auto" w:sz="4" w:space="0"/>
            </w:tcBorders>
            <w:noWrap w:val="0"/>
            <w:vAlign w:val="top"/>
          </w:tcPr>
          <w:p w14:paraId="461D7E0B">
            <w:pPr>
              <w:spacing w:line="400" w:lineRule="exact"/>
              <w:jc w:val="center"/>
              <w:rPr>
                <w:rFonts w:hint="eastAsia" w:ascii="宋体" w:hAnsi="宋体" w:eastAsia="宋体" w:cs="宋体"/>
                <w:color w:val="auto"/>
                <w:sz w:val="24"/>
              </w:rPr>
            </w:pPr>
          </w:p>
        </w:tc>
      </w:tr>
    </w:tbl>
    <w:p w14:paraId="7583AA91">
      <w:pPr>
        <w:spacing w:line="360" w:lineRule="auto"/>
        <w:rPr>
          <w:rFonts w:hint="eastAsia" w:ascii="宋体" w:hAnsi="宋体" w:eastAsia="宋体" w:cs="宋体"/>
          <w:b/>
          <w:color w:val="auto"/>
          <w:sz w:val="24"/>
        </w:rPr>
      </w:pPr>
      <w:r>
        <w:rPr>
          <w:rFonts w:hint="eastAsia" w:ascii="宋体" w:hAnsi="宋体" w:eastAsia="宋体" w:cs="宋体"/>
          <w:b/>
          <w:color w:val="auto"/>
          <w:sz w:val="24"/>
        </w:rPr>
        <w:t>二、合同总价</w:t>
      </w:r>
    </w:p>
    <w:p w14:paraId="04F55296">
      <w:pPr>
        <w:pStyle w:val="2"/>
        <w:spacing w:line="360" w:lineRule="auto"/>
        <w:ind w:left="0" w:leftChars="0" w:firstLine="480" w:firstLineChars="200"/>
        <w:rPr>
          <w:rFonts w:hint="eastAsia" w:ascii="宋体" w:hAnsi="宋体" w:eastAsia="宋体" w:cs="宋体"/>
          <w:b/>
          <w:color w:val="auto"/>
          <w:sz w:val="24"/>
        </w:rPr>
      </w:pPr>
      <w:r>
        <w:rPr>
          <w:rFonts w:hint="eastAsia" w:ascii="宋体" w:hAnsi="宋体" w:eastAsia="宋体" w:cs="宋体"/>
          <w:color w:val="auto"/>
          <w:sz w:val="24"/>
        </w:rPr>
        <w:t>合同总价为人民币大写：XXX元，即RMB￥XXX元；该合同总价已包括货物设计、材料、制造、包装、运输、安装、调试、检测、验收合格交付使用之前及保修期内保修服务与备用物件等等所有其他有关各项的含税费用。本合同执行期间合同总价不变，甲方无须另向乙方支付本合同规定之外的其他任何费用。</w:t>
      </w:r>
    </w:p>
    <w:p w14:paraId="16C7D63F">
      <w:pPr>
        <w:tabs>
          <w:tab w:val="left" w:pos="2145"/>
        </w:tabs>
        <w:spacing w:line="360" w:lineRule="auto"/>
        <w:rPr>
          <w:rFonts w:hint="eastAsia" w:ascii="宋体" w:hAnsi="宋体" w:eastAsia="宋体" w:cs="宋体"/>
          <w:b/>
          <w:color w:val="auto"/>
          <w:sz w:val="24"/>
        </w:rPr>
      </w:pPr>
      <w:r>
        <w:rPr>
          <w:rFonts w:hint="eastAsia" w:ascii="宋体" w:hAnsi="宋体" w:eastAsia="宋体" w:cs="宋体"/>
          <w:b/>
          <w:color w:val="auto"/>
          <w:sz w:val="24"/>
        </w:rPr>
        <w:t>三、质量要求</w:t>
      </w:r>
      <w:r>
        <w:rPr>
          <w:rFonts w:hint="eastAsia" w:ascii="宋体" w:hAnsi="宋体" w:eastAsia="宋体" w:cs="宋体"/>
          <w:b/>
          <w:color w:val="auto"/>
          <w:sz w:val="24"/>
        </w:rPr>
        <w:tab/>
      </w:r>
    </w:p>
    <w:p w14:paraId="1DA30702">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1.乙方须提供全新的货物（含零部件、配件等），表面无划伤、无碰撞痕迹，且权属清楚，不得侵害他人的知识产权。</w:t>
      </w:r>
    </w:p>
    <w:p w14:paraId="0AD9140C">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2.货物必须符合或优于国家（行业）XXX标准，以及本项目</w:t>
      </w:r>
      <w:r>
        <w:rPr>
          <w:rFonts w:hint="eastAsia" w:ascii="宋体" w:hAnsi="宋体" w:cs="宋体"/>
          <w:color w:val="auto"/>
          <w:lang w:val="en-US" w:eastAsia="zh-CN"/>
        </w:rPr>
        <w:t>招标文件</w:t>
      </w:r>
      <w:r>
        <w:rPr>
          <w:rFonts w:hint="eastAsia" w:ascii="宋体" w:hAnsi="宋体" w:eastAsia="宋体" w:cs="宋体"/>
          <w:color w:val="auto"/>
        </w:rPr>
        <w:t>的质量要求和技术指标与出厂标准。</w:t>
      </w:r>
    </w:p>
    <w:p w14:paraId="03E08517">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3.乙方须在本合同签订之日起XXX日内送交货物成品样品给甲方确认，在甲方出具样品确认书并封存成品样品外观尺寸后，乙方才能按样生产，并以此样品作为验收样品；每台货物上均应有产品质量检验合格标志。</w:t>
      </w:r>
    </w:p>
    <w:p w14:paraId="2005DCFE">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4.货物制造质量出现问题，乙方应负责三包（包修、包换、包退），费用由乙方负担，甲方有权到乙方生产场地检查货物质量和生产进度。</w:t>
      </w:r>
    </w:p>
    <w:p w14:paraId="631D0136">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5. 货物到现场后由于甲方保管不当造成的质量问题，乙方亦应负责修理，但费用由甲方负担。</w:t>
      </w:r>
    </w:p>
    <w:p w14:paraId="527FBCD6">
      <w:pPr>
        <w:spacing w:line="360" w:lineRule="auto"/>
        <w:ind w:firstLine="472" w:firstLineChars="196"/>
        <w:rPr>
          <w:rFonts w:hint="eastAsia" w:ascii="宋体" w:hAnsi="宋体" w:eastAsia="宋体" w:cs="宋体"/>
          <w:b/>
          <w:color w:val="auto"/>
          <w:sz w:val="24"/>
        </w:rPr>
      </w:pPr>
      <w:r>
        <w:rPr>
          <w:rFonts w:hint="eastAsia" w:ascii="宋体" w:hAnsi="宋体" w:eastAsia="宋体" w:cs="宋体"/>
          <w:b/>
          <w:color w:val="auto"/>
          <w:sz w:val="24"/>
        </w:rPr>
        <w:t>四、交货及验收</w:t>
      </w:r>
    </w:p>
    <w:p w14:paraId="47A52954">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1.乙方交货期限为合同签订生效后的XXX日内，在合同签订生效之日起XXX天内交货到甲方指定地点，随即在XXX日内全部完成安装调试验收合格交付使用 (如由于采购人的原因造成合同延迟签订或验收的，时间顺延)。交货验收时须提供产品质检部门从同类产品中抽样检查合格的检测报告。</w:t>
      </w:r>
    </w:p>
    <w:p w14:paraId="1229C133">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2.验收由甲方组织，乙方配合进行：</w:t>
      </w:r>
    </w:p>
    <w:p w14:paraId="4BBCD4D7">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 货物在乙方通知安装调试完毕后XXX日内初步验收。初步验收合格后，进入XXX天试用期；试用期间发生一般性质量问题，修复后试用期相应顺延；试用期结束后XXX日内完成最终验收，如质量验收合格，双方签署《质量验收合格证明书》。</w:t>
      </w:r>
    </w:p>
    <w:p w14:paraId="50DA6B9F">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 验收标准：按国家有关规定以及甲方</w:t>
      </w:r>
      <w:r>
        <w:rPr>
          <w:rFonts w:hint="eastAsia" w:ascii="宋体" w:hAnsi="宋体" w:cs="宋体"/>
          <w:color w:val="auto"/>
          <w:lang w:val="en-US" w:eastAsia="zh-CN"/>
        </w:rPr>
        <w:t>采购</w:t>
      </w:r>
      <w:r>
        <w:rPr>
          <w:rFonts w:hint="eastAsia" w:ascii="宋体" w:hAnsi="宋体" w:eastAsia="宋体" w:cs="宋体"/>
          <w:color w:val="auto"/>
        </w:rPr>
        <w:t>文件的质量要求和技术指标、乙方的投标文件及承诺与本合同约定标准进行验收；甲乙双方如对质量要求和技术指标的约定标准有相互抵触或异议的事项，由甲方在</w:t>
      </w:r>
      <w:r>
        <w:rPr>
          <w:rFonts w:hint="eastAsia" w:ascii="宋体" w:hAnsi="宋体" w:cs="宋体"/>
          <w:color w:val="auto"/>
          <w:lang w:val="en-US" w:eastAsia="zh-CN"/>
        </w:rPr>
        <w:t>招标文件</w:t>
      </w:r>
      <w:r>
        <w:rPr>
          <w:rFonts w:hint="eastAsia" w:ascii="宋体" w:hAnsi="宋体" w:eastAsia="宋体" w:cs="宋体"/>
          <w:color w:val="auto"/>
        </w:rPr>
        <w:t>和响应文件中按质量要求和技术指标比较优胜的原则确定该项的约定标准进行验收；</w:t>
      </w:r>
    </w:p>
    <w:p w14:paraId="25033B5E">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4238DE5C">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(4)如质量验收合格，双方签署质量验收报告。</w:t>
      </w:r>
    </w:p>
    <w:p w14:paraId="256B666F">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3. 货物安装调试完毕后XXX日内，甲方无故不进行验收工作并已使用货物的，视同验收合格。</w:t>
      </w:r>
    </w:p>
    <w:p w14:paraId="4C918817">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4.乙方应将所提供货物的装箱清单、配件、随机工具、用户使用手册、原厂保修卡等资料交付给甲方；乙方不能完整交付货物及本款规定的单证和工具的，必须负责补齐，否则视为未按合同约定交货。</w:t>
      </w:r>
    </w:p>
    <w:p w14:paraId="768EA593">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5.如货物经乙方XXX次维修仍不能达到合同约定的质量标准，甲方有权退货，并视作乙方不能交付货物且须支付违约赔偿金给甲方，甲方还可依法追究乙方的违约责任。</w:t>
      </w:r>
    </w:p>
    <w:p w14:paraId="5F0F2DA4">
      <w:pPr>
        <w:pStyle w:val="5"/>
        <w:spacing w:line="360" w:lineRule="auto"/>
        <w:ind w:firstLine="480"/>
        <w:rPr>
          <w:rFonts w:hint="eastAsia" w:ascii="宋体" w:hAnsi="宋体" w:eastAsia="宋体" w:cs="宋体"/>
          <w:b/>
          <w:color w:val="auto"/>
          <w:sz w:val="24"/>
        </w:rPr>
      </w:pPr>
      <w:r>
        <w:rPr>
          <w:rFonts w:hint="eastAsia" w:ascii="宋体" w:hAnsi="宋体" w:eastAsia="宋体" w:cs="宋体"/>
          <w:color w:val="auto"/>
        </w:rPr>
        <w:t>6.其他未尽事宜应严格按照</w:t>
      </w:r>
      <w:r>
        <w:rPr>
          <w:rFonts w:hint="eastAsia" w:ascii="宋体" w:hAnsi="宋体" w:eastAsia="宋体" w:cs="宋体"/>
          <w:color w:val="auto"/>
          <w:sz w:val="24"/>
        </w:rPr>
        <w:t>《财政部关于进一步加强政府采购需求和履约验收管理的指导意见》（财库〔2016〕205号）</w:t>
      </w:r>
      <w:r>
        <w:rPr>
          <w:rFonts w:hint="eastAsia" w:ascii="宋体" w:hAnsi="宋体" w:eastAsia="宋体" w:cs="宋体"/>
          <w:color w:val="auto"/>
        </w:rPr>
        <w:t>的要求进行。 </w:t>
      </w:r>
    </w:p>
    <w:p w14:paraId="26946220">
      <w:pPr>
        <w:spacing w:line="360" w:lineRule="auto"/>
        <w:ind w:firstLine="472" w:firstLineChars="196"/>
        <w:rPr>
          <w:rFonts w:hint="eastAsia" w:ascii="宋体" w:hAnsi="宋体" w:eastAsia="宋体" w:cs="宋体"/>
          <w:b/>
          <w:color w:val="auto"/>
          <w:sz w:val="24"/>
        </w:rPr>
      </w:pPr>
      <w:r>
        <w:rPr>
          <w:rFonts w:hint="eastAsia" w:ascii="宋体" w:hAnsi="宋体" w:eastAsia="宋体" w:cs="宋体"/>
          <w:b/>
          <w:color w:val="auto"/>
          <w:sz w:val="24"/>
        </w:rPr>
        <w:t>五、付款方式</w:t>
      </w:r>
    </w:p>
    <w:p w14:paraId="66D84E43">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1.甲方在本合同签订生效之日起接到乙方通知和票据凭证资料以及乙方交给甲方的合同履约保证金（按合同总价的百分之XXX  计算款额￥XXX元，人民币大写：XXX元整）后的XXX日内支付合同金额百分之XXX的价款。</w:t>
      </w:r>
    </w:p>
    <w:p w14:paraId="138C84EB">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全部货物安装调试完毕并验收合格之日起，甲方接到乙方通知与票据凭证资料以后的XXX日内，提交支付凭证资料给XXX财政国库支付执行机构办理财政国库支付手续，并由其向乙方核拨合同总价的百分之XXX款项：￥XXX元，人民币大写XXX元整；自筹资金由甲方直接支付给乙方。</w:t>
      </w:r>
    </w:p>
    <w:p w14:paraId="57795CE6">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3.乙方须向甲方出具合法有效完整的完税发票及凭证资料进行支付结算。</w:t>
      </w:r>
    </w:p>
    <w:p w14:paraId="0A021202">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4.履约保证金：在货物验收合格满XXX后，甲方财务部门接到乙方通知和支付凭证资料文件，以及由甲方确认本合同货物质量与服务等约定事项已经履行完毕的正式书面文件后的XXX日内，递交结算凭证资料给银行并由其向乙方支付价款￥XXX元，人民币大写：XXX元整。</w:t>
      </w:r>
    </w:p>
    <w:p w14:paraId="77E1CBE7">
      <w:pPr>
        <w:pStyle w:val="5"/>
        <w:spacing w:line="360" w:lineRule="auto"/>
        <w:ind w:firstLine="482"/>
        <w:rPr>
          <w:rFonts w:hint="eastAsia" w:ascii="宋体" w:hAnsi="宋体" w:eastAsia="宋体" w:cs="宋体"/>
          <w:b/>
          <w:color w:val="auto"/>
        </w:rPr>
      </w:pPr>
      <w:r>
        <w:rPr>
          <w:rFonts w:hint="eastAsia" w:ascii="宋体" w:hAnsi="宋体" w:eastAsia="宋体" w:cs="宋体"/>
          <w:b/>
          <w:color w:val="auto"/>
        </w:rPr>
        <w:t>六、售后服务</w:t>
      </w:r>
    </w:p>
    <w:p w14:paraId="1E42B161">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1.质保期为验收合格后</w:t>
      </w:r>
      <w:r>
        <w:rPr>
          <w:rFonts w:hint="eastAsia" w:ascii="宋体" w:hAnsi="宋体" w:eastAsia="宋体" w:cs="宋体"/>
          <w:color w:val="auto"/>
          <w:szCs w:val="21"/>
        </w:rPr>
        <w:t>XX</w:t>
      </w:r>
      <w:r>
        <w:rPr>
          <w:rFonts w:hint="eastAsia" w:ascii="宋体" w:hAnsi="宋体" w:eastAsia="宋体" w:cs="宋体"/>
          <w:color w:val="auto"/>
        </w:rPr>
        <w:t>年，质保期内出现质量问题，乙方在接到通知后XXX小时内响应到场，XXX小时内完成维修或更换，并承担修理调换的费用；如货物经乙方XXX次维修仍不能达到本合同约定的质量标准，视作乙方未能按时交货，甲方有权退货并追究乙方的违约责任。货到现场后由于甲方保管不当造成的问题，乙方亦应负责修复，但费用由甲方负担。</w:t>
      </w:r>
    </w:p>
    <w:p w14:paraId="0B67AC24">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2.乙方须指派专人负责与甲方联系售后服务事宜。 </w:t>
      </w:r>
    </w:p>
    <w:p w14:paraId="03A15694">
      <w:pPr>
        <w:spacing w:line="360" w:lineRule="auto"/>
        <w:ind w:firstLine="472" w:firstLineChars="196"/>
        <w:rPr>
          <w:rFonts w:hint="eastAsia" w:ascii="宋体" w:hAnsi="宋体" w:eastAsia="宋体" w:cs="宋体"/>
          <w:b/>
          <w:color w:val="auto"/>
          <w:sz w:val="24"/>
        </w:rPr>
      </w:pPr>
      <w:r>
        <w:rPr>
          <w:rFonts w:hint="eastAsia" w:ascii="宋体" w:hAnsi="宋体" w:eastAsia="宋体" w:cs="宋体"/>
          <w:b/>
          <w:color w:val="auto"/>
          <w:sz w:val="24"/>
        </w:rPr>
        <w:t>七、违约责任</w:t>
      </w:r>
    </w:p>
    <w:p w14:paraId="0FE8B605">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1.甲方违约责任</w:t>
      </w:r>
    </w:p>
    <w:p w14:paraId="547234E7">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（1）甲方无正当理由拒收货物的，甲方应偿付合同总价百分之XXX的违约金；</w:t>
      </w:r>
    </w:p>
    <w:p w14:paraId="65298191">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（2）甲方逾期支付货款的，除应及时付足货款外，应向乙方偿付欠款总额万分之XXX/天的违约金；逾期付款超过XXX天的，乙方有权终止合同；</w:t>
      </w:r>
    </w:p>
    <w:p w14:paraId="092D597F">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（3） 甲方偿付的违约金不足以弥补乙方损失的，还应按乙方损失尚未弥补的部分，支付赔偿金给乙方。</w:t>
      </w:r>
    </w:p>
    <w:p w14:paraId="0069EC50">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2.乙方违约责任</w:t>
      </w:r>
    </w:p>
    <w:p w14:paraId="09D85056">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乙方交付的货物质量不符合合同规定的，乙方应向甲方支付合同总价的百分之XXX的违约金，并须在合同规定的交货时间内更换合格的货物给甲方，否则，视作乙方不能交付货物而违约，按本条本款下述第“（2）”项规定由乙方偿付违约赔偿金给甲方。</w:t>
      </w:r>
    </w:p>
    <w:p w14:paraId="5746D3E4">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（2）乙方不能交付货物或逾期交付货物而违约的，除应及时交足货物外，应向甲方偿付逾期交货部分货款总额的万分之XXX/天的违约金；逾期交货超过</w:t>
      </w:r>
      <w:r>
        <w:rPr>
          <w:rFonts w:hint="eastAsia" w:ascii="宋体" w:hAnsi="宋体" w:eastAsia="宋体" w:cs="宋体"/>
          <w:color w:val="auto"/>
          <w:szCs w:val="21"/>
        </w:rPr>
        <w:t>XX</w:t>
      </w:r>
      <w:r>
        <w:rPr>
          <w:rFonts w:hint="eastAsia" w:ascii="宋体" w:hAnsi="宋体" w:eastAsia="宋体" w:cs="宋体"/>
          <w:color w:val="auto"/>
        </w:rPr>
        <w:t>天，甲方有权终止合同，乙方则应按合同总价的百分之XXX的款额向甲方偿付赔偿金，并须全额退还甲方已经付给乙方的货款及其利息。</w:t>
      </w:r>
    </w:p>
    <w:p w14:paraId="3D14304F">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3）乙方货物经甲方送交具有法定资格条件的质量技术监督机构检测后，如检测结果认定货物质量不符合本合同规定标准的，则视为乙方没有按时交货而违约，乙方须在XXX天内无条件更换合格的货物，如逾期不能更换合格的货物，甲方有权终止本合同，乙方应另付合同总价的百分之XXX的赔偿金给甲方。</w:t>
      </w:r>
    </w:p>
    <w:p w14:paraId="69FD310A">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XXX向甲方支付违约金。</w:t>
      </w:r>
    </w:p>
    <w:p w14:paraId="04CCB301">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（5）乙方偿付的违约金不足以弥补甲方损失的，还应按甲方损失尚未弥补的部分，支付赔偿金给甲方。</w:t>
      </w:r>
    </w:p>
    <w:p w14:paraId="61361D6C">
      <w:pPr>
        <w:spacing w:line="360" w:lineRule="auto"/>
        <w:ind w:firstLine="479" w:firstLineChars="199"/>
        <w:rPr>
          <w:rFonts w:hint="eastAsia" w:ascii="宋体" w:hAnsi="宋体" w:eastAsia="宋体" w:cs="宋体"/>
          <w:b/>
          <w:color w:val="auto"/>
          <w:sz w:val="24"/>
        </w:rPr>
      </w:pPr>
      <w:r>
        <w:rPr>
          <w:rFonts w:hint="eastAsia" w:ascii="宋体" w:hAnsi="宋体" w:eastAsia="宋体" w:cs="宋体"/>
          <w:b/>
          <w:color w:val="auto"/>
          <w:sz w:val="24"/>
        </w:rPr>
        <w:t>八、争议解决办法</w:t>
      </w:r>
    </w:p>
    <w:p w14:paraId="7DFEA2A9">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1.因货物的质量问题发生争议，由质量技术监督部门或其指定的质量鉴定机构进行质量鉴定。货物符合标准的，鉴定费由甲方承担；货物不符合质量标准的，鉴定费由乙方承担。</w:t>
      </w:r>
    </w:p>
    <w:p w14:paraId="6AB4CC26">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2.合同履行期间,若双方发生争议，可协商或由有关部门调解解决，协商或调解不成的，由当事人依法维护其合法权益。</w:t>
      </w:r>
    </w:p>
    <w:p w14:paraId="36425461">
      <w:pPr>
        <w:spacing w:line="360" w:lineRule="auto"/>
        <w:ind w:firstLine="360" w:firstLineChars="128"/>
        <w:rPr>
          <w:rFonts w:hint="eastAsia" w:ascii="宋体" w:hAnsi="宋体" w:eastAsia="宋体" w:cs="宋体"/>
          <w:b/>
          <w:color w:val="auto"/>
          <w:sz w:val="28"/>
          <w:szCs w:val="28"/>
        </w:rPr>
      </w:pPr>
      <w:r>
        <w:rPr>
          <w:rFonts w:hint="eastAsia" w:ascii="宋体" w:hAnsi="宋体" w:eastAsia="宋体" w:cs="宋体"/>
          <w:b/>
          <w:color w:val="auto"/>
          <w:sz w:val="28"/>
          <w:szCs w:val="28"/>
        </w:rPr>
        <w:t>九、其他</w:t>
      </w:r>
    </w:p>
    <w:p w14:paraId="2493A7A7">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1.如有未尽事宜，由双方依法订立补充合同。</w:t>
      </w:r>
    </w:p>
    <w:p w14:paraId="54A3C827">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2.本合同双方应加盖骑缝章。</w:t>
      </w:r>
    </w:p>
    <w:p w14:paraId="106944E0">
      <w:pPr>
        <w:pStyle w:val="5"/>
        <w:spacing w:line="360" w:lineRule="auto"/>
        <w:ind w:firstLine="480"/>
        <w:rPr>
          <w:rFonts w:hint="eastAsia" w:ascii="宋体" w:hAnsi="宋体" w:eastAsia="宋体" w:cs="宋体"/>
          <w:color w:val="auto"/>
        </w:rPr>
      </w:pPr>
      <w:r>
        <w:rPr>
          <w:rFonts w:hint="eastAsia" w:ascii="宋体" w:hAnsi="宋体" w:eastAsia="宋体" w:cs="宋体"/>
          <w:color w:val="auto"/>
        </w:rPr>
        <w:t>3.本合同一式四份，自双方签章并经代理机构审核编号后生效。甲方、乙方、政府采购管理部门、采购代理机构各一份。</w:t>
      </w:r>
    </w:p>
    <w:p w14:paraId="0A8D182F">
      <w:pPr>
        <w:pStyle w:val="6"/>
        <w:spacing w:line="360" w:lineRule="auto"/>
        <w:ind w:firstLine="480"/>
        <w:rPr>
          <w:rFonts w:hint="eastAsia" w:ascii="宋体" w:hAnsi="宋体" w:eastAsia="宋体" w:cs="宋体"/>
          <w:color w:val="auto"/>
          <w:sz w:val="24"/>
        </w:rPr>
      </w:pPr>
    </w:p>
    <w:p w14:paraId="0D2C51E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 xml:space="preserve">甲方：   （盖单位公章）   </w:t>
      </w:r>
      <w:r>
        <w:rPr>
          <w:rFonts w:hint="eastAsia" w:ascii="宋体" w:hAnsi="宋体" w:eastAsia="宋体" w:cs="宋体"/>
          <w:color w:val="auto"/>
          <w:sz w:val="24"/>
        </w:rPr>
        <w:tab/>
      </w:r>
      <w:r>
        <w:rPr>
          <w:rFonts w:hint="eastAsia" w:ascii="宋体" w:hAnsi="宋体" w:eastAsia="宋体" w:cs="宋体"/>
          <w:color w:val="auto"/>
          <w:sz w:val="24"/>
        </w:rPr>
        <w:tab/>
      </w:r>
      <w:r>
        <w:rPr>
          <w:rFonts w:hint="eastAsia" w:ascii="宋体" w:hAnsi="宋体" w:eastAsia="宋体" w:cs="宋体"/>
          <w:color w:val="auto"/>
          <w:sz w:val="24"/>
        </w:rPr>
        <w:t xml:space="preserve">    乙方：   （盖单位公章）</w:t>
      </w:r>
    </w:p>
    <w:p w14:paraId="66739B9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法定代表人（授权代表）：            法定代表人（授权代表）：</w:t>
      </w:r>
    </w:p>
    <w:p w14:paraId="124B3F8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地    址：                         地    址：</w:t>
      </w:r>
    </w:p>
    <w:p w14:paraId="33EC6FD4">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开户银行：                         开户银行：</w:t>
      </w:r>
    </w:p>
    <w:p w14:paraId="6EFFCD5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账号：                             账号：</w:t>
      </w:r>
    </w:p>
    <w:p w14:paraId="4B85724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电    话：                         电    话：</w:t>
      </w:r>
    </w:p>
    <w:p w14:paraId="6A5FB57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传    真：                         传    真：</w:t>
      </w:r>
    </w:p>
    <w:p w14:paraId="2EA96BCD">
      <w:r>
        <w:rPr>
          <w:rFonts w:hint="eastAsia" w:ascii="宋体" w:hAnsi="宋体" w:eastAsia="宋体" w:cs="宋体"/>
          <w:color w:val="auto"/>
          <w:sz w:val="24"/>
        </w:rPr>
        <w:t xml:space="preserve">签约日期：XX年XX月XX日 </w:t>
      </w:r>
      <w:r>
        <w:rPr>
          <w:rFonts w:hint="eastAsia" w:ascii="宋体" w:hAnsi="宋体" w:eastAsia="宋体" w:cs="宋体"/>
          <w:color w:val="auto"/>
          <w:sz w:val="24"/>
        </w:rPr>
        <w:tab/>
      </w:r>
      <w:r>
        <w:rPr>
          <w:rFonts w:hint="eastAsia" w:ascii="宋体" w:hAnsi="宋体" w:eastAsia="宋体" w:cs="宋体"/>
          <w:color w:val="auto"/>
          <w:sz w:val="24"/>
        </w:rPr>
        <w:t>签约日期：XX年XX月XX日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3662E"/>
    <w:multiLevelType w:val="multilevel"/>
    <w:tmpl w:val="5743662E"/>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656F0"/>
    <w:rsid w:val="42F65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left="425"/>
    </w:pPr>
    <w:rPr>
      <w:rFonts w:ascii="Arial" w:hAnsi="Arial" w:cs="Arial"/>
      <w:sz w:val="22"/>
    </w:rPr>
  </w:style>
  <w:style w:type="paragraph" w:customStyle="1" w:styleId="5">
    <w:name w:val="样式 首行缩进:  2 字符"/>
    <w:basedOn w:val="1"/>
    <w:autoRedefine/>
    <w:qFormat/>
    <w:uiPriority w:val="0"/>
    <w:pPr>
      <w:spacing w:line="400" w:lineRule="exact"/>
      <w:ind w:firstLine="200" w:firstLineChars="200"/>
    </w:pPr>
    <w:rPr>
      <w:rFonts w:cs="宋体"/>
      <w:sz w:val="24"/>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2025-03-27T08:53:00Z</dcterms:created>
  <dc:creator>万宝路上小青年。</dc:creator>
  <cp:lastModifiedBy>万宝路上小青年。</cp:lastModifiedBy>
  <dcterms:modified xsi:type="dcterms:W3CDTF">2025-03-27T08:53:08Z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C70A57B064854C3A86CDB68DB06FCB9C_11</vt:lpwstr>
  </property>
  <property fmtid="{D5CDD505-2E9C-101B-9397-08002B2CF9AE}" pid="4" name="KSOTemplateDocerSaveRecord">
    <vt:lpwstr>eyJoZGlkIjoiMzBjZjZjMTAxYTA0NGQ2NGVhNDIwMzg2MDMxZjg0ZjEiLCJ1c2VySWQiOiIzMDgzMjAxODgifQ==</vt:lpwstr>
  </property>
</Properties>
</file>