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版本号：N511501202500006220250314001</w:t>
      </w:r>
    </w:p>
    <w:p>
      <w:pPr>
        <w:pStyle w:val="null3"/>
        <w:jc w:val="left"/>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宜宾市公安局监管中心和宜宾市第二看守所安保服务项目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N5115012025000062</w:t>
      </w:r>
    </w:p>
    <w:p>
      <w:pPr>
        <w:pStyle w:val="null3"/>
        <w:jc w:val="left"/>
        <w:outlineLvl w:val="2"/>
      </w:pPr>
      <w:r>
        <w:rPr>
          <w:rFonts w:ascii="仿宋_GB2312" w:hAnsi="仿宋_GB2312" w:cs="仿宋_GB2312" w:eastAsia="仿宋_GB2312"/>
          <w:sz w:val="28"/>
          <w:b/>
        </w:rPr>
        <w:t>宜宾市公安局监所管理支队（宜宾市公安局监所管理中心）</w:t>
      </w:r>
    </w:p>
    <w:p>
      <w:pPr>
        <w:pStyle w:val="null3"/>
        <w:jc w:val="center"/>
        <w:outlineLvl w:val="2"/>
      </w:pPr>
      <w:r>
        <w:rPr>
          <w:rFonts w:ascii="仿宋_GB2312" w:hAnsi="仿宋_GB2312" w:cs="仿宋_GB2312" w:eastAsia="仿宋_GB2312"/>
          <w:sz w:val="28"/>
          <w:b/>
        </w:rPr>
        <w:t>宜宾市政府采购中心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宜宾市政府采购中心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宜宾市公安局监所管理支队（宜宾市公安局监所管理中心）</w:t>
      </w:r>
      <w:r>
        <w:rPr>
          <w:rFonts w:ascii="仿宋_GB2312" w:hAnsi="仿宋_GB2312" w:cs="仿宋_GB2312" w:eastAsia="仿宋_GB2312"/>
        </w:rPr>
        <w:t xml:space="preserve"> 委托，拟对 </w:t>
      </w:r>
      <w:r>
        <w:rPr>
          <w:rFonts w:ascii="仿宋_GB2312" w:hAnsi="仿宋_GB2312" w:cs="仿宋_GB2312" w:eastAsia="仿宋_GB2312"/>
        </w:rPr>
        <w:t>宜宾市公安局监管中心和宜宾市第二看守所安保服务项目</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宜宾市市本级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N5115012025000062</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宜宾市公安局监管中心和宜宾市第二看守所安保服务项目</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该项目属于综合性安保服务，项目分为宜宾市公安局监所管理中心、宜宾市第二看守所两个服务区域，包括两个区域的安保服务、设施设备维护、会务服务、特殊场所专项服务、后勤服务等，均含服务中需使用的常用物资以及涉及的垃圾清运费，外墙清洗费，日常耗材，消防维保费，电梯维保费等。</w:t>
      </w:r>
    </w:p>
    <w:p>
      <w:pPr>
        <w:pStyle w:val="null3"/>
        <w:jc w:val="left"/>
      </w:pPr>
      <w:r>
        <w:rPr>
          <w:rFonts w:ascii="仿宋_GB2312" w:hAnsi="仿宋_GB2312" w:cs="仿宋_GB2312" w:eastAsia="仿宋_GB2312"/>
        </w:rPr>
        <w:t>1.监管中心：位于高县月江镇福顶社区，内含监管支队、市强制戒毒所等四个办公区，总用地面积约105431.4平方米，办公建筑面积约56600平方米，绿化面积约21000平方米，停车位172个(地面停车位110个，地下停车位62个)。中心1个出入口(大门)，共有业务技术用房、办公楼、食堂等12栋建筑。含大型多功能会议室2个，多媒体会议室4个，食堂2个，电梯6部，配电房5间，变压器5台，发电机2台,消控室2间。2.市第二看守所:位于宜宾市叙州区柏溪街道八一村八一组，总用地面积约24012平方米，办公建筑面积约5000平方米，绿化面积约1000平方米，地面停车位40个。看守所出入口1个(大门)，共有综合楼、办公楼、宿舍等4栋建筑，含多功能会议室1个，多媒体会议室1个，食堂2个，活动室1间，配电房1间，变压器1台，发电机1台。</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供应商合同分包的，分包意向协议中分包意向供应商应当为中小企业。接受分包合同的中小企业与分包企业之间不得存在直接控股、管理关系。</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1、具有公安部门颁发有效的《保安服务许可证》（描述：具有公安部门颁发有效的《保安服务许可证》）</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w:t>
      </w:r>
      <w:r>
        <w:rPr>
          <w:rFonts w:ascii="仿宋_GB2312" w:hAnsi="仿宋_GB2312" w:cs="仿宋_GB2312" w:eastAsia="仿宋_GB2312"/>
          <w:sz w:val="24"/>
          <w:b/>
        </w:rPr>
        <w:t>宜宾市公安局监所管理支队（宜宾市公安局监所管理中心）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四川省宜宾市高县月江镇福顶社区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13909093110</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w:t>
      </w:r>
      <w:r>
        <w:rPr>
          <w:rFonts w:ascii="仿宋_GB2312" w:hAnsi="仿宋_GB2312" w:cs="仿宋_GB2312" w:eastAsia="仿宋_GB2312"/>
          <w:sz w:val="24"/>
          <w:b/>
        </w:rPr>
        <w:t>宜宾市政府采购中心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四川省宜宾市叙州区南岸金沙江大道市民中心四楼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08318088817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政府购买服务项目（含政府和社会资本合作项目）：是/否</w:t>
            </w:r>
          </w:p>
          <w:p>
            <w:pPr>
              <w:pStyle w:val="null3"/>
              <w:jc w:val="left"/>
            </w:pPr>
            <w:r>
              <w:rPr>
                <w:rFonts w:ascii="仿宋_GB2312" w:hAnsi="仿宋_GB2312" w:cs="仿宋_GB2312" w:eastAsia="仿宋_GB2312"/>
              </w:rPr>
              <w:t xml:space="preserve"> 市场竞争不充分的科研项目：是/否</w:t>
            </w:r>
            <w:r>
              <w:rPr>
                <w:rFonts w:ascii="仿宋_GB2312" w:hAnsi="仿宋_GB2312" w:cs="仿宋_GB2312" w:eastAsia="仿宋_GB2312"/>
              </w:rPr>
              <w:t xml:space="preserve"> 需要扶持的科技成果转化项目：是/否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本采购包履约保证金为合同金额的3.0%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交款时间：成交通知书发放后，政府采购合同签订前。</w:t>
              <w:br/>
              <w:t>履约保证金退还方式：原账号返回。</w:t>
              <w:br/>
              <w:t>履约保证金退还时间：项目履约验收完成后10日内无息退还。</w:t>
              <w:br/>
              <w:t>履约保证金不予退还情形：成交供应商不履行与采购人订立的合同的，履约保证金不予退还。履约保证金不予退还的，将按照有关规定上缴国库。</w:t>
              <w:br/>
              <w:t>缴纳方式：供应商须通过银行转账、保函、本票、汇票或支票的方式缴纳履约保证金。</w:t>
              <w:br/>
              <w:t>未缴纳情形：如供应商未按时缴纳履约保证金，视为放弃成交，采购人无需与供应商签订本合同。</w:t>
              <w:br/>
              <w:t>退还情形：履约保证金至供应商验收合格后且供应商无违约行为时返还供应商（无息）。</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二、本磋商文件由 </w:t>
      </w:r>
      <w:r>
        <w:rPr>
          <w:rFonts w:ascii="仿宋_GB2312" w:hAnsi="仿宋_GB2312" w:cs="仿宋_GB2312" w:eastAsia="仿宋_GB2312"/>
        </w:rPr>
        <w:t>宜宾市公安局监所管理支队（宜宾市公安局监所管理中心）</w:t>
      </w:r>
      <w:r>
        <w:rPr>
          <w:rFonts w:ascii="仿宋_GB2312" w:hAnsi="仿宋_GB2312" w:cs="仿宋_GB2312" w:eastAsia="仿宋_GB2312"/>
        </w:rPr>
        <w:t xml:space="preserve"> 和 </w:t>
      </w:r>
      <w:r>
        <w:rPr>
          <w:rFonts w:ascii="仿宋_GB2312" w:hAnsi="仿宋_GB2312" w:cs="仿宋_GB2312" w:eastAsia="仿宋_GB2312"/>
        </w:rPr>
        <w:t>宜宾市政府采购中心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一、“采购人”是指依法进行政府采购的国家机关、事业单位、团体组织。本次磋商的采购人是 </w:t>
      </w:r>
      <w:r>
        <w:rPr>
          <w:rFonts w:ascii="仿宋_GB2312" w:hAnsi="仿宋_GB2312" w:cs="仿宋_GB2312" w:eastAsia="仿宋_GB2312"/>
        </w:rPr>
        <w:t>宜宾市公安局监所管理支队（宜宾市公安局监所管理中心）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宜宾市政府采购中心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本项目以下采购包允许合同分包。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采购包号</w:t>
            </w:r>
          </w:p>
        </w:tc>
        <w:tc>
          <w:tcPr>
            <w:tcW w:type="dxa" w:w="2076"/>
          </w:tcPr>
          <w:p>
            <w:pPr>
              <w:pStyle w:val="null3"/>
              <w:jc w:val="left"/>
            </w:pPr>
            <w:r>
              <w:rPr>
                <w:rFonts w:ascii="仿宋_GB2312" w:hAnsi="仿宋_GB2312" w:cs="仿宋_GB2312" w:eastAsia="仿宋_GB2312"/>
              </w:rPr>
              <w:t>分包方式</w:t>
            </w:r>
          </w:p>
        </w:tc>
        <w:tc>
          <w:tcPr>
            <w:tcW w:type="dxa" w:w="2076"/>
          </w:tcPr>
          <w:p>
            <w:pPr>
              <w:pStyle w:val="null3"/>
              <w:jc w:val="left"/>
            </w:pPr>
            <w:r>
              <w:rPr>
                <w:rFonts w:ascii="仿宋_GB2312" w:hAnsi="仿宋_GB2312" w:cs="仿宋_GB2312" w:eastAsia="仿宋_GB2312"/>
              </w:rPr>
              <w:t>分包说明</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采购包1</w:t>
            </w:r>
          </w:p>
        </w:tc>
        <w:tc>
          <w:tcPr>
            <w:tcW w:type="dxa" w:w="2076"/>
          </w:tcPr>
          <w:p>
            <w:pPr>
              <w:pStyle w:val="null3"/>
              <w:jc w:val="left"/>
            </w:pPr>
            <w:r>
              <w:rPr>
                <w:rFonts w:ascii="仿宋_GB2312" w:hAnsi="仿宋_GB2312" w:cs="仿宋_GB2312" w:eastAsia="仿宋_GB2312"/>
              </w:rPr>
              <w:t>内容</w:t>
            </w:r>
          </w:p>
        </w:tc>
        <w:tc>
          <w:tcPr>
            <w:tcW w:type="dxa" w:w="2076"/>
          </w:tcPr>
          <w:p>
            <w:pPr>
              <w:pStyle w:val="null3"/>
              <w:jc w:val="left"/>
            </w:pPr>
            <w:r>
              <w:rPr>
                <w:rFonts w:ascii="仿宋_GB2312" w:hAnsi="仿宋_GB2312" w:cs="仿宋_GB2312" w:eastAsia="仿宋_GB2312"/>
              </w:rPr>
              <w:t>针对专业性较强的项目如电梯维保、消防维保可以进行分包，分包单位需具备行政主管部门颁发的相应资质。</w:t>
            </w:r>
          </w:p>
        </w:tc>
      </w:tr>
    </w:tbl>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 xml:space="preserve"> 1.供应商根据磋商文件的规定和采购项目的实际情况，拟在成交后将成交项目的非主体、非关键性工作分包的，应当在响应文件中载明分包承担主体，分包承担主体应当具备相应资质条件且不得再次分包。</w:t>
      </w:r>
    </w:p>
    <w:p>
      <w:pPr>
        <w:pStyle w:val="null3"/>
        <w:jc w:val="left"/>
      </w:pPr>
      <w:r>
        <w:rPr>
          <w:rFonts w:ascii="仿宋_GB2312" w:hAnsi="仿宋_GB2312" w:cs="仿宋_GB2312" w:eastAsia="仿宋_GB2312"/>
        </w:rPr>
        <w:t xml:space="preserve"> 2.采购合同实行分包履行的，成交供应商就采购项目和分包项目向采购人负责，分包供应商就分包项目承担责任。</w:t>
      </w:r>
    </w:p>
    <w:p>
      <w:pPr>
        <w:pStyle w:val="null3"/>
        <w:jc w:val="left"/>
      </w:pPr>
      <w:r>
        <w:rPr>
          <w:rFonts w:ascii="仿宋_GB2312" w:hAnsi="仿宋_GB2312" w:cs="仿宋_GB2312" w:eastAsia="仿宋_GB2312"/>
        </w:rPr>
        <w:t xml:space="preserve"> 3.中小企业依据《政府采购促进中小企业发展管理办法》（财库〔2020〕46号）规定的政策获取政府采购合同后，小型、微型企业不得将合同分包给大型、中型企业，中型企业不得将合同分包给大型企业。</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 xml:space="preserve"> 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 xml:space="preserve"> 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 xml:space="preserve"> 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合同中约定。</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按行业相关法律规定、采购文件技术要求、成交供应商的响应文件和合同等进行验收。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按行业相关法律规定、采购文件商务要求、成交供应商的响应文件和合同等进行验收。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其他未尽事宜应严格按照《财政部关于进一步加强政府采购需求和履约验收管理的指导意见》（财库〔2016〕205号）等政府采购相关法律法规的要求进行。《政府采购需求管理办法》（财库〔2021〕22 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合同中约定。</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根据委托代理协议约定，供应商对磋商文件中采购需求的询问、质疑由 </w:t>
      </w:r>
      <w:r>
        <w:rPr>
          <w:rFonts w:ascii="仿宋_GB2312" w:hAnsi="仿宋_GB2312" w:cs="仿宋_GB2312" w:eastAsia="仿宋_GB2312"/>
        </w:rPr>
        <w:t>宜宾市公安局监所管理支队（宜宾市公安局监所管理中心）</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宜宾市政府采购中心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宜宾市政府采购中心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联系人：罗先生</w:t>
      </w:r>
    </w:p>
    <w:p>
      <w:pPr>
        <w:pStyle w:val="null3"/>
        <w:jc w:val="left"/>
      </w:pPr>
      <w:r>
        <w:rPr>
          <w:rFonts w:ascii="仿宋_GB2312" w:hAnsi="仿宋_GB2312" w:cs="仿宋_GB2312" w:eastAsia="仿宋_GB2312"/>
        </w:rPr>
        <w:t>联系电话：13909093110</w:t>
      </w:r>
    </w:p>
    <w:p>
      <w:pPr>
        <w:pStyle w:val="null3"/>
        <w:jc w:val="left"/>
      </w:pPr>
      <w:r>
        <w:rPr>
          <w:rFonts w:ascii="仿宋_GB2312" w:hAnsi="仿宋_GB2312" w:cs="仿宋_GB2312" w:eastAsia="仿宋_GB2312"/>
        </w:rPr>
        <w:t>地址：宜宾市高县月江镇福顶社区</w:t>
      </w:r>
    </w:p>
    <w:p>
      <w:pPr>
        <w:pStyle w:val="null3"/>
        <w:jc w:val="left"/>
      </w:pPr>
      <w:r>
        <w:rPr>
          <w:rFonts w:ascii="仿宋_GB2312" w:hAnsi="仿宋_GB2312" w:cs="仿宋_GB2312" w:eastAsia="仿宋_GB2312"/>
        </w:rPr>
        <w:t>邮编：644000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2,300,000.00</w:t>
      </w:r>
    </w:p>
    <w:p>
      <w:pPr>
        <w:pStyle w:val="null3"/>
        <w:jc w:val="left"/>
      </w:pPr>
      <w:r>
        <w:rPr>
          <w:rFonts w:ascii="仿宋_GB2312" w:hAnsi="仿宋_GB2312" w:cs="仿宋_GB2312" w:eastAsia="仿宋_GB2312"/>
        </w:rPr>
        <w:t>采购包最高限价（元）: 2,300,000.00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C05049900 其他安全保护服务</w:t>
            </w:r>
          </w:p>
        </w:tc>
        <w:tc>
          <w:tcPr>
            <w:tcW w:type="dxa" w:w="821"/>
          </w:tcPr>
          <w:p>
            <w:pPr>
              <w:pStyle w:val="null3"/>
              <w:jc w:val="left"/>
            </w:pPr>
            <w:r>
              <w:rPr>
                <w:rFonts w:ascii="仿宋_GB2312" w:hAnsi="仿宋_GB2312" w:cs="仿宋_GB2312" w:eastAsia="仿宋_GB2312"/>
              </w:rPr>
              <w:t>宜宾市公安局监管中心和宜宾市第二看守所安保服务项目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2,300,000.00</w:t>
            </w:r>
          </w:p>
        </w:tc>
        <w:tc>
          <w:tcPr>
            <w:tcW w:type="dxa" w:w="821"/>
          </w:tcPr>
          <w:p>
            <w:pPr>
              <w:pStyle w:val="null3"/>
              <w:jc w:val="left"/>
            </w:pPr>
            <w:r>
              <w:rPr>
                <w:rFonts w:ascii="仿宋_GB2312" w:hAnsi="仿宋_GB2312" w:cs="仿宋_GB2312" w:eastAsia="仿宋_GB2312"/>
              </w:rPr>
              <w:t>租赁和商务服务业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宜宾市公安局监管中心和宜宾市第二看守所安保服务项目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2,300,000.00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标的名称：宜宾市公安局监管中心和宜宾市第二看守所安保服务项目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服务要求</w:t>
            </w:r>
          </w:p>
        </w:tc>
        <w:tc>
          <w:tcPr>
            <w:tcW w:type="dxa" w:w="5814"/>
          </w:tcPr>
          <w:p>
            <w:pPr>
              <w:pStyle w:val="null3"/>
              <w:ind w:firstLine="480"/>
              <w:jc w:val="both"/>
            </w:pPr>
            <w:r>
              <w:rPr>
                <w:rFonts w:ascii="仿宋_GB2312" w:hAnsi="仿宋_GB2312" w:cs="仿宋_GB2312" w:eastAsia="仿宋_GB2312"/>
                <w:sz w:val="24"/>
              </w:rPr>
              <w:t>（一）安保服务</w:t>
            </w:r>
          </w:p>
          <w:p>
            <w:pPr>
              <w:pStyle w:val="null3"/>
              <w:ind w:firstLine="480"/>
              <w:jc w:val="both"/>
            </w:pPr>
            <w:r>
              <w:rPr>
                <w:rFonts w:ascii="仿宋_GB2312" w:hAnsi="仿宋_GB2312" w:cs="仿宋_GB2312" w:eastAsia="仿宋_GB2312"/>
                <w:sz w:val="24"/>
              </w:rPr>
              <w:t>1.服务范围</w:t>
            </w:r>
          </w:p>
          <w:p>
            <w:pPr>
              <w:pStyle w:val="null3"/>
              <w:ind w:firstLine="480"/>
              <w:jc w:val="both"/>
            </w:pPr>
            <w:r>
              <w:rPr>
                <w:rFonts w:ascii="仿宋_GB2312" w:hAnsi="仿宋_GB2312" w:cs="仿宋_GB2312" w:eastAsia="仿宋_GB2312"/>
                <w:sz w:val="24"/>
              </w:rPr>
              <w:t>安保服务范围包括但不限于服务区域的治安防范、巡逻执勤、视频监控、应急处理突发事项、反恐防爆、消防安全、信访安保服务、物资进出管理、车辆进出管理、人员进出管理、重要会议安保等一切与安全相关的工作。上述工作是在采购人的统一工作安排及要求下，由供应商安保服务人员完成。</w:t>
            </w:r>
          </w:p>
          <w:p>
            <w:pPr>
              <w:pStyle w:val="null3"/>
              <w:ind w:firstLine="480"/>
              <w:jc w:val="left"/>
            </w:pPr>
            <w:r>
              <w:rPr>
                <w:rFonts w:ascii="仿宋_GB2312" w:hAnsi="仿宋_GB2312" w:cs="仿宋_GB2312" w:eastAsia="仿宋_GB2312"/>
                <w:sz w:val="24"/>
              </w:rPr>
              <w:t>2.执行标准、规范</w:t>
            </w:r>
          </w:p>
          <w:p>
            <w:pPr>
              <w:pStyle w:val="null3"/>
              <w:ind w:firstLine="480"/>
              <w:jc w:val="both"/>
            </w:pPr>
            <w:r>
              <w:rPr>
                <w:rFonts w:ascii="仿宋_GB2312" w:hAnsi="仿宋_GB2312" w:cs="仿宋_GB2312" w:eastAsia="仿宋_GB2312"/>
                <w:sz w:val="24"/>
              </w:rPr>
              <w:t>GA/T594-2006《保安服务操作规程与质量控制》等。</w:t>
            </w:r>
          </w:p>
          <w:p>
            <w:pPr>
              <w:pStyle w:val="null3"/>
              <w:ind w:firstLine="480"/>
              <w:jc w:val="both"/>
            </w:pPr>
            <w:r>
              <w:rPr>
                <w:rFonts w:ascii="仿宋_GB2312" w:hAnsi="仿宋_GB2312" w:cs="仿宋_GB2312" w:eastAsia="仿宋_GB2312"/>
                <w:sz w:val="24"/>
              </w:rPr>
              <w:t>3.服务内容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1）治安防范：维护服务区域正常办公秩序。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巡逻执勤：服务区域设置固定岗，实行24小时站岗执勤。设置24小时巡逻岗，每日早、晚各完成1次对服务区域各楼栋及公共区域的安保、消防、排水、用电等设施设备全覆盖巡检，安防、水、电、燃气等设施的巡查和记录，安全、警示、告知等的制作和张贴，及时发现安全隐患并处置、报告。</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3）设备设施的安全保卫：服务区域实行24小时视频监控并安排人员值班。值班人员要做好值班记录，保存好相关视频资料，监测好设备运行情况（若出现异常，及时报告采购人处置）。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4）应急处理突发事项：按照相关法律法规、技术规范和采购人相关工作制度和要求，科学、高效、稳妥处理各种自然灾害、群体性事件等突发事件。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5）反恐防爆：服务区域是反恐防爆重点防范目标。要按照公安部相关技术规范和工作要求，结合服务区域实际情况，完善设施设备、建立工作机制、落实工作措施。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6）消防安全：主要工作任务包括，消防设施设备运行维护，消防安全隐患排查，火情初期发现、处置、报告，协助消防部门处置火灾。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信访安保服务：服务区域是信访秩序严管区。采购人已与信访、公安、网信等部门建立非正常上访联动处置工作机制。要及时发现并报告非访、群访苗头，按照《中华人民共和国信访工作条例》及相关法律法规维护好服务区域正常办公秩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8）物资进出管理：建立进出服务区域物资登记、检查制度，危险物品严禁进入服务区域，涉密物资严禁违规带出服务区域。</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9）车辆进出管理：按照采购人相关工作制度，做好车辆进出、停放、交通安保服务工作。机动车辆凭通行证进入，赃车、社会运营车辆不允进入，机动车辆和非机动车辆均需到指定位置停放，禁止鸣笛。</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10）人员进出管理：按照采购人相关工作制度，做好人员进出管理。非服务区域工作人员，询问登记后进入。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11）重要活动安保：主要做好重要活动期间的安全保卫、安保服务、交通组织工作。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12）完成业主交办的临时性工作。</w:t>
            </w:r>
          </w:p>
          <w:p>
            <w:pPr>
              <w:pStyle w:val="null3"/>
              <w:ind w:firstLine="480"/>
              <w:jc w:val="both"/>
            </w:pPr>
            <w:r>
              <w:rPr>
                <w:rFonts w:ascii="仿宋_GB2312" w:hAnsi="仿宋_GB2312" w:cs="仿宋_GB2312" w:eastAsia="仿宋_GB2312"/>
                <w:sz w:val="24"/>
              </w:rPr>
              <w:t>4.服务措施。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1）结合相关法律法规、采购人工作制度要求、服务区域工作实际，建立完善相关工作机制、考核制度。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做好安保服务人员培训，具备胜任工作的基本知识技能，熟练使用各类设施、设备，知悉业务相关法律法规、采购人及供应商相关工作制度，熟悉服务区域工作环境。对工作中出现的失误及时进行补救、整改并对相关人员进行教育、培训、处罚。对采购人认为不能适应工作要求的人员及时进行替换，1个星期内到位。</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3）建立健全保密制度，对在工作中接触到的他人个人信息、单位秘密、上访人员反映事项一律不得外传，造成一切后果由供应商负责。</w:t>
            </w:r>
          </w:p>
          <w:p>
            <w:pPr>
              <w:pStyle w:val="null3"/>
              <w:ind w:firstLine="480"/>
              <w:jc w:val="both"/>
            </w:pPr>
            <w:r>
              <w:rPr>
                <w:rFonts w:ascii="仿宋_GB2312" w:hAnsi="仿宋_GB2312" w:cs="仿宋_GB2312" w:eastAsia="仿宋_GB2312"/>
                <w:sz w:val="24"/>
              </w:rPr>
              <w:t>（二）设施设备维护服务</w:t>
            </w:r>
          </w:p>
          <w:p>
            <w:pPr>
              <w:pStyle w:val="null3"/>
              <w:ind w:firstLine="480"/>
              <w:jc w:val="both"/>
            </w:pPr>
            <w:r>
              <w:rPr>
                <w:rFonts w:ascii="仿宋_GB2312" w:hAnsi="仿宋_GB2312" w:cs="仿宋_GB2312" w:eastAsia="仿宋_GB2312"/>
                <w:sz w:val="24"/>
              </w:rPr>
              <w:t>1.服务范围：综合管理、办公系统管理、消防系统管理、给排水系统管理、供配电系统管理、电梯系统、中央空调系统清洁维保等；</w:t>
            </w:r>
          </w:p>
          <w:p>
            <w:pPr>
              <w:pStyle w:val="null3"/>
              <w:ind w:firstLine="480"/>
              <w:jc w:val="both"/>
            </w:pP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设备机房每半个月清洁1次，机房整洁有序，室内无杂物；设有挡鼠板、鼠药盒或粘鼠板；在明显易取位置配备有符合规定的消防器材及专用工具，确保完好有效；设施设备标识标牌齐全；张贴或悬挂相关制度、证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2）元旦、春节、五一、国庆等重大节假日前，组织系统巡检1次，记录齐全、完整。</w:t>
            </w:r>
            <w:r>
              <w:rPr>
                <w:rFonts w:ascii="仿宋_GB2312" w:hAnsi="仿宋_GB2312" w:cs="仿宋_GB2312" w:eastAsia="仿宋_GB2312"/>
                <w:sz w:val="24"/>
              </w:rPr>
              <w:t>对</w:t>
            </w:r>
            <w:r>
              <w:rPr>
                <w:rFonts w:ascii="仿宋_GB2312" w:hAnsi="仿宋_GB2312" w:cs="仿宋_GB2312" w:eastAsia="仿宋_GB2312"/>
                <w:sz w:val="24"/>
              </w:rPr>
              <w:t>运用互联网技术的监控系统、防盗报警系统、消防报警系统、门禁一卡通系统、停车库管理系统等为机关运转提供安全防范措施的设施设备，每周巡查</w:t>
            </w:r>
            <w:r>
              <w:rPr>
                <w:rFonts w:ascii="仿宋_GB2312" w:hAnsi="仿宋_GB2312" w:cs="仿宋_GB2312" w:eastAsia="仿宋_GB2312"/>
                <w:sz w:val="24"/>
              </w:rPr>
              <w:t>1次，检查运行状态；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3）每月对室外互联网探头等设备表面清洁1次（极端天气及时进行排查并保持正常运行）；每季度检查1次按键、显示屏等，每年内部除尘1次。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4）每月检查1次消防设备，每周检查各处消火栓是否损坏，水龙带、水枪是否在位；检查各处消防水管是否漏水；检查防火门、安全出口指示灯、消防疏散图、安全通道照明是否完好；检查安全通道是否畅通。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5）每月检查消防加压水泵1次；检查各类信号指示灯是否正常；检查各类水压压力表是否正常；检查消防水泵泵体是否漏水、生锈；检查消防备用电源是否正常，能否及时切换。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每月检查手提式灭火器是否有效；检查烟感、温感探测器是否正常工作；消火栓放水检查1次；检查消防报警按钮、警铃及指示灯；检查消防广播系统；消防控制联动系统1次试验测试；检查自动喷洒系统管道和各消防水箱、水池排水；气体灭火装置的检查测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7）每日巡检1次供水设施，设备、阀门、管道等运行正常，无跑、冒、滴、漏现象；有水泵房、水箱间的，每日巡视1次，每年养护1次水泵。</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8）有事故应急预案，及时发现并解决故障；如遇供水单位限水、停水，应按规定时间通知办公区内用户。</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9)定期对排水管进行疏通、清污，保证室内外排水系统通畅；每年汛前对雨、污水井、屋面雨水井等排水设施进行检查；建立防汛预案，配备有防汛物资（沙袋、雨具、照明工具等），每年至少组织1次演练。</w:t>
            </w:r>
          </w:p>
          <w:p>
            <w:pPr>
              <w:pStyle w:val="null3"/>
              <w:ind w:firstLine="480"/>
              <w:jc w:val="both"/>
            </w:pPr>
            <w:r>
              <w:rPr>
                <w:rFonts w:ascii="仿宋_GB2312" w:hAnsi="仿宋_GB2312" w:cs="仿宋_GB2312" w:eastAsia="仿宋_GB2312"/>
                <w:sz w:val="24"/>
              </w:rPr>
              <w:t>(10)建立24小时运行值班监控制度，一般故障半小时修复，复杂故障涉及供电部门维修处置的应及时与供电部门联系，向使用单位报告；发现应急照明故障，30分钟内到达并组织维修。</w:t>
            </w:r>
          </w:p>
          <w:p>
            <w:pPr>
              <w:pStyle w:val="null3"/>
              <w:ind w:firstLine="480"/>
              <w:jc w:val="both"/>
            </w:pPr>
            <w:r>
              <w:rPr>
                <w:rFonts w:ascii="仿宋_GB2312" w:hAnsi="仿宋_GB2312" w:cs="仿宋_GB2312" w:eastAsia="仿宋_GB2312"/>
                <w:sz w:val="24"/>
              </w:rPr>
              <w:t>(11)对供电范围内的电气设备定期巡视维护，加强低压配电柜、配电箱、控制柜及线路的重点监测，公共使用的照明、指示灯具线路、开关应保持完好，确保用电安全；照明设备每周巡视1次，一般故障1日内修复，复杂故障1周内修复。</w:t>
            </w:r>
          </w:p>
          <w:p>
            <w:pPr>
              <w:pStyle w:val="null3"/>
              <w:ind w:firstLine="480"/>
              <w:jc w:val="both"/>
            </w:pPr>
            <w:r>
              <w:rPr>
                <w:rFonts w:ascii="仿宋_GB2312" w:hAnsi="仿宋_GB2312" w:cs="仿宋_GB2312" w:eastAsia="仿宋_GB2312"/>
                <w:sz w:val="24"/>
              </w:rPr>
              <w:t>(12)严格执行国家有关电梯管理规定和安全规程，做到电梯准用证、年检合格证、维保合同完备。每年进行1次定期检验，每半年进行1次维修保养，每周检查2次安全状况，保障运行完好；维保专业人员应取得经特种设备安全监督管理部门考核合格的特种作业操作证。有电梯突发事件或事故的应急措施与救援预案，每半年演练1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13）定期维保，保证空调设备设施处于良好状态，运行期间每日巡查1次运行情况；每半年检查1次管道、阀门并除锈；每年对系统进行1次整体性维修养护，清洗消毒1次新风机、空气处理机滤网等；每2年清洗消毒1次风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14）雷雨季节每周巡查1次，非雷雨季节每月巡查1次避雷设施，保持性能符合国家标准，并做好巡查记录备查。发现安全隐患和故障，及时书面报告业主维修、整改。配合相关部门及业主做好防雷电设施的年检。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15）对公用设施设备定期组织巡检，做好巡检登记。如需维修的，属于200元（含）以下的小修范围的，及时组织修复(包括小面积墙地砖修补等泥水工工作)，耗材由供应商承担;超过200元的维修属于大、中维修范围或者需要更新改造的，及时编制维修、更新改造计划上报采购人，经采购人审核后组织维修或者更新改造，费用由采购人承担。</w:t>
            </w:r>
          </w:p>
          <w:p>
            <w:pPr>
              <w:pStyle w:val="null3"/>
              <w:ind w:firstLine="480"/>
              <w:jc w:val="both"/>
            </w:pPr>
            <w:r>
              <w:rPr>
                <w:rFonts w:ascii="仿宋_GB2312" w:hAnsi="仿宋_GB2312" w:cs="仿宋_GB2312" w:eastAsia="仿宋_GB2312"/>
                <w:sz w:val="24"/>
              </w:rPr>
              <w:t>（三）会务管理服务</w:t>
            </w:r>
          </w:p>
          <w:p>
            <w:pPr>
              <w:pStyle w:val="null3"/>
              <w:ind w:firstLine="480"/>
              <w:jc w:val="both"/>
            </w:pPr>
            <w:r>
              <w:rPr>
                <w:rFonts w:ascii="仿宋_GB2312" w:hAnsi="仿宋_GB2312" w:cs="仿宋_GB2312" w:eastAsia="仿宋_GB2312"/>
                <w:sz w:val="24"/>
              </w:rPr>
              <w:t>1.会务管理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1）遵守会议室管理制度，严格执行会议服务规程和会务人员操作规范。</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2）接受会议任务，根据会议要求做好相应准备。</w:t>
            </w:r>
          </w:p>
          <w:p>
            <w:pPr>
              <w:pStyle w:val="null3"/>
              <w:ind w:firstLine="480"/>
              <w:jc w:val="both"/>
            </w:pPr>
            <w:r>
              <w:rPr>
                <w:rFonts w:ascii="仿宋_GB2312" w:hAnsi="仿宋_GB2312" w:cs="仿宋_GB2312" w:eastAsia="仿宋_GB2312"/>
                <w:sz w:val="24"/>
              </w:rPr>
              <w:t>2.会务管理服务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1）会前准备：会务管理服务人员根据会议要求进行会场布置，准备会务设施设备及物品；保证音响、投影、电脑、电子显示屏等视频、音频设施设备的正常使用。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2）会中服务：会务管理服务人员引导参会人员入座，保障参会人员饮水。</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会后整理：会后检查有无遗留物，关闭设备，做好会后清理工作；使用1次卫生清洁1次，未使用的每周卫生清洁1次，保持地面、墙面、墙角与门窗干净光亮，无灰尘，桌椅摆放有序，保持洁净，窗帘挂放整齐，地毯清洁卫生；门窗、风口、天花板目视无尘无污渍，水杯无茶垢等污渍，消毒达到卫生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4）会务管理服务人员应着工作服，戴工作牌，注重仪容仪表和礼节礼貌。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5）涉密会议环境符合保密安全要求，不发生失泄密事件。</w:t>
            </w:r>
          </w:p>
          <w:p>
            <w:pPr>
              <w:pStyle w:val="null3"/>
              <w:ind w:firstLine="480"/>
              <w:jc w:val="both"/>
            </w:pPr>
            <w:r>
              <w:rPr>
                <w:rFonts w:ascii="仿宋_GB2312" w:hAnsi="仿宋_GB2312" w:cs="仿宋_GB2312" w:eastAsia="仿宋_GB2312"/>
                <w:sz w:val="24"/>
              </w:rPr>
              <w:t>（四）后勤服务</w:t>
            </w:r>
          </w:p>
          <w:p>
            <w:pPr>
              <w:pStyle w:val="null3"/>
              <w:ind w:firstLine="480"/>
              <w:jc w:val="both"/>
            </w:pPr>
            <w:r>
              <w:rPr>
                <w:rFonts w:ascii="仿宋_GB2312" w:hAnsi="仿宋_GB2312" w:cs="仿宋_GB2312" w:eastAsia="仿宋_GB2312"/>
                <w:sz w:val="24"/>
              </w:rPr>
              <w:t>1.服务范围：根据每个区域的要求提供对应的后勤保证服务，其中主要包括办公区域环境维护、公共区域环境维护、办公区范围内绿地、绿植修剪造型、病霉生物防治，提供室内绿植租摆、卫生消杀、垃圾清运处理、下水道清掏、定期对化粪池进行清理及处理清掏出的废泄物、宿舍公共区域清扫、会议室等功能用房的清扫、办公楼外墙面清洗、其他临时性后勤相关工作等。各办公室、宿舍内部由采购人自行负责。</w:t>
            </w:r>
          </w:p>
          <w:p>
            <w:pPr>
              <w:pStyle w:val="null3"/>
              <w:ind w:firstLine="480"/>
              <w:jc w:val="both"/>
            </w:pPr>
            <w:r>
              <w:rPr>
                <w:rFonts w:ascii="仿宋_GB2312" w:hAnsi="仿宋_GB2312" w:cs="仿宋_GB2312" w:eastAsia="仿宋_GB2312"/>
                <w:sz w:val="24"/>
              </w:rPr>
              <w:t>2.服务要求：保证区域内的地面、干净，厕所无异味，每日上午、下午至少各完成1次清洁。区域内的绿植根据季节、天气变化和绿植长势科学统筹安排，修剪除虫，定期巡查，适当选择观赏性强、观赏期长、方便管理的鲜活植物摆放室内，改善、调节、美化室内环境，保证办公后勤服务环境建设。每月定期开展</w:t>
            </w:r>
            <w:r>
              <w:rPr>
                <w:rFonts w:ascii="仿宋_GB2312" w:hAnsi="仿宋_GB2312" w:cs="仿宋_GB2312" w:eastAsia="仿宋_GB2312"/>
                <w:sz w:val="24"/>
              </w:rPr>
              <w:t>垃圾清运，每年至少开展</w:t>
            </w:r>
            <w:r>
              <w:rPr>
                <w:rFonts w:ascii="仿宋_GB2312" w:hAnsi="仿宋_GB2312" w:cs="仿宋_GB2312" w:eastAsia="仿宋_GB2312"/>
                <w:sz w:val="24"/>
              </w:rPr>
              <w:t>1次外墙清洗。服务中需使用的清洁耗材（如扫帚、拖把、垃圾桶、清洁剂等），由供应商承担。</w:t>
            </w:r>
          </w:p>
          <w:p>
            <w:pPr>
              <w:pStyle w:val="null3"/>
              <w:ind w:firstLine="480"/>
              <w:jc w:val="both"/>
            </w:pPr>
            <w:r>
              <w:rPr>
                <w:rFonts w:ascii="仿宋_GB2312" w:hAnsi="仿宋_GB2312" w:cs="仿宋_GB2312" w:eastAsia="仿宋_GB2312"/>
                <w:sz w:val="24"/>
              </w:rPr>
              <w:t>3.质量要求：地面无垃圾、污渍、积水积雪、枯枝落叶；围墙、玻璃、窗台、内部墙面、公共区域各类设施设备外表面干净整洁、无污渍；垃圾桶（池）及时清理、干净整洁、无异味；厕所无异味、蚊虫，便池保持干净、卫生纸、洗手液等物品摆放整齐；地漏等排水设施畅通；地面无老鼠、蟑螂，阴沟、角落无较多蚊虫，枯枝落叶及时清理，绿地内无死树，树木修剪合理，树形美观。</w:t>
            </w:r>
          </w:p>
          <w:p>
            <w:pPr>
              <w:pStyle w:val="null3"/>
              <w:ind w:firstLine="480"/>
              <w:jc w:val="both"/>
            </w:pPr>
            <w:r>
              <w:rPr>
                <w:rFonts w:ascii="仿宋_GB2312" w:hAnsi="仿宋_GB2312" w:cs="仿宋_GB2312" w:eastAsia="仿宋_GB2312"/>
                <w:sz w:val="24"/>
              </w:rPr>
              <w:t>4.工作要求：人员统一着装，严禁高声喧哗，微笑礼貌服务，工具规范摆放整齐；</w:t>
            </w:r>
            <w:r>
              <w:rPr>
                <w:rFonts w:ascii="仿宋_GB2312" w:hAnsi="仿宋_GB2312" w:cs="仿宋_GB2312" w:eastAsia="仿宋_GB2312"/>
                <w:sz w:val="24"/>
              </w:rPr>
              <w:t>服装、工具由供应商提供</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（五）服务人员配置要求</w:t>
            </w:r>
          </w:p>
          <w:p>
            <w:pPr>
              <w:pStyle w:val="null3"/>
              <w:ind w:firstLine="480"/>
              <w:jc w:val="both"/>
            </w:pPr>
            <w:r>
              <w:rPr>
                <w:rFonts w:ascii="仿宋_GB2312" w:hAnsi="仿宋_GB2312" w:cs="仿宋_GB2312" w:eastAsia="仿宋_GB2312"/>
                <w:sz w:val="24"/>
              </w:rPr>
              <w:t>项目人员构成：该项目服务人员配置不得少于</w:t>
            </w:r>
            <w:r>
              <w:rPr>
                <w:rFonts w:ascii="仿宋_GB2312" w:hAnsi="仿宋_GB2312" w:cs="仿宋_GB2312" w:eastAsia="仿宋_GB2312"/>
                <w:sz w:val="24"/>
              </w:rPr>
              <w:t>43人。宜宾市公安局监所管理中心31人、宜宾市第二看守所12人。</w:t>
            </w:r>
          </w:p>
          <w:p>
            <w:pPr>
              <w:pStyle w:val="null3"/>
              <w:ind w:firstLine="480"/>
              <w:jc w:val="both"/>
            </w:pPr>
            <w:r>
              <w:rPr>
                <w:rFonts w:ascii="仿宋_GB2312" w:hAnsi="仿宋_GB2312" w:cs="仿宋_GB2312" w:eastAsia="仿宋_GB2312"/>
                <w:sz w:val="24"/>
              </w:rPr>
              <w:t>1.宜宾市公安局监所管理中心项目经理1人、安保13人（安保人员须具有公安机关颁发的有效的保安证，且同时至少6人须具有消防设施操作员证），环境后勤维护员12人、会服人员1人、园林绿化造型师1人、工程维护人员3人(其中2人须具有低压电工作业证，1人须具有高压电工作业证，三人须同时具有高空作业证或登高作业证)。</w:t>
            </w:r>
          </w:p>
          <w:p>
            <w:pPr>
              <w:pStyle w:val="null3"/>
              <w:ind w:firstLine="480"/>
              <w:jc w:val="both"/>
            </w:pPr>
            <w:r>
              <w:rPr>
                <w:rFonts w:ascii="仿宋_GB2312" w:hAnsi="仿宋_GB2312" w:cs="仿宋_GB2312" w:eastAsia="仿宋_GB2312"/>
                <w:sz w:val="24"/>
              </w:rPr>
              <w:t>2.宜宾市第二看守所主管（兼会服人员）1人、安保6人（安保人员须具有公安机关颁发的有效的保安证），环境后勤维护员4人、工程维护人员1人(须具有低压电工作业证，同时具有高空作业证或登高作业证)。</w:t>
            </w:r>
          </w:p>
          <w:p>
            <w:pPr>
              <w:pStyle w:val="null3"/>
              <w:ind w:firstLine="480"/>
              <w:jc w:val="both"/>
            </w:pPr>
            <w:r>
              <w:rPr>
                <w:rFonts w:ascii="仿宋_GB2312" w:hAnsi="仿宋_GB2312" w:cs="仿宋_GB2312" w:eastAsia="仿宋_GB2312"/>
                <w:sz w:val="24"/>
              </w:rPr>
              <w:t>供应商配置可多于、优于指导配置。供应商拟派服务人员应定岗定责、满编满员，所有服务人员按要求分别统一着装</w:t>
            </w:r>
            <w:r>
              <w:rPr>
                <w:rFonts w:ascii="仿宋_GB2312" w:hAnsi="仿宋_GB2312" w:cs="仿宋_GB2312" w:eastAsia="仿宋_GB2312"/>
                <w:sz w:val="24"/>
              </w:rPr>
              <w:t>（费用由供应商支出）。</w:t>
            </w:r>
          </w:p>
          <w:p>
            <w:pPr>
              <w:pStyle w:val="null3"/>
              <w:jc w:val="center"/>
            </w:pPr>
            <w:r>
              <w:rPr>
                <w:rFonts w:ascii="仿宋_GB2312" w:hAnsi="仿宋_GB2312" w:cs="仿宋_GB2312" w:eastAsia="仿宋_GB2312"/>
                <w:sz w:val="24"/>
              </w:rPr>
              <w:t>宜宾市公安局监所管理中心人员配置</w:t>
            </w:r>
          </w:p>
          <w:tbl>
            <w:tblPr>
              <w:tblBorders>
                <w:top w:val="none" w:color="000000" w:sz="4"/>
                <w:left w:val="none" w:color="000000" w:sz="4"/>
                <w:bottom w:val="none" w:color="000000" w:sz="4"/>
                <w:right w:val="none" w:color="000000" w:sz="4"/>
                <w:insideH w:val="none"/>
                <w:insideV w:val="none"/>
              </w:tblBorders>
            </w:tblPr>
            <w:tblGrid>
              <w:gridCol w:w="758"/>
              <w:gridCol w:w="3662"/>
              <w:gridCol w:w="1161"/>
            </w:tblGrid>
            <w:tr>
              <w:tc>
                <w:tcPr>
                  <w:tcW w:type="dxa" w:w="7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职务</w:t>
                  </w:r>
                </w:p>
              </w:tc>
              <w:tc>
                <w:tcPr>
                  <w:tcW w:type="dxa" w:w="36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职责</w:t>
                  </w:r>
                </w:p>
              </w:tc>
              <w:tc>
                <w:tcPr>
                  <w:tcW w:type="dxa" w:w="1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持全面管理工作、突发事情的应急处理及办理业主临时交办的任务，负责项目后勤保障工作，包括但不限于档案管理，物资领用、员工培训等工作，开展日常管护工作，负责安保人员、后勤人员、园林绿化造型师、工程维护人员的日常管理工作。项目经理不得在其他单位兼任。</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男女不限，年龄</w:t>
                  </w:r>
                  <w:r>
                    <w:rPr>
                      <w:rFonts w:ascii="仿宋_GB2312" w:hAnsi="仿宋_GB2312" w:cs="仿宋_GB2312" w:eastAsia="仿宋_GB2312"/>
                      <w:sz w:val="24"/>
                    </w:rPr>
                    <w:t>50周岁（含）以下</w:t>
                  </w:r>
                </w:p>
              </w:tc>
            </w:tr>
            <w:tr>
              <w:tc>
                <w:tcPr>
                  <w:tcW w:type="dxa" w:w="7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安保人员</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1.负责门岗及其它岗位休息顶岗及物资搬运及其它岗位运行情况监督管理协调等工作。</w:t>
                  </w:r>
                </w:p>
              </w:tc>
              <w:tc>
                <w:tcPr>
                  <w:tcW w:type="dxa" w:w="116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w:t>
                  </w:r>
                  <w:r>
                    <w:rPr>
                      <w:rFonts w:ascii="仿宋_GB2312" w:hAnsi="仿宋_GB2312" w:cs="仿宋_GB2312" w:eastAsia="仿宋_GB2312"/>
                      <w:sz w:val="24"/>
                    </w:rPr>
                    <w:t>男性，年龄</w:t>
                  </w:r>
                  <w:r>
                    <w:rPr>
                      <w:rFonts w:ascii="仿宋_GB2312" w:hAnsi="仿宋_GB2312" w:cs="仿宋_GB2312" w:eastAsia="仿宋_GB2312"/>
                      <w:sz w:val="24"/>
                    </w:rPr>
                    <w:t>45周</w:t>
                  </w:r>
                  <w:r>
                    <w:rPr>
                      <w:rFonts w:ascii="仿宋_GB2312" w:hAnsi="仿宋_GB2312" w:cs="仿宋_GB2312" w:eastAsia="仿宋_GB2312"/>
                      <w:sz w:val="24"/>
                    </w:rPr>
                    <w:t>岁</w:t>
                  </w:r>
                  <w:r>
                    <w:rPr>
                      <w:rFonts w:ascii="仿宋_GB2312" w:hAnsi="仿宋_GB2312" w:cs="仿宋_GB2312" w:eastAsia="仿宋_GB2312"/>
                      <w:sz w:val="24"/>
                    </w:rPr>
                    <w:t>（含）</w:t>
                  </w:r>
                  <w:r>
                    <w:rPr>
                      <w:rFonts w:ascii="仿宋_GB2312" w:hAnsi="仿宋_GB2312" w:cs="仿宋_GB2312" w:eastAsia="仿宋_GB2312"/>
                      <w:sz w:val="24"/>
                    </w:rPr>
                    <w:t>以下，身体健康，无纹身，无犯罪记录</w:t>
                  </w:r>
                </w:p>
                <w:p>
                  <w:pPr>
                    <w:pStyle w:val="null3"/>
                    <w:jc w:val="center"/>
                  </w:pPr>
                </w:p>
              </w:tc>
            </w:tr>
            <w:tr>
              <w:tc>
                <w:tcPr>
                  <w:tcW w:type="dxa" w:w="758"/>
                  <w:vMerge/>
                  <w:tcBorders>
                    <w:top w:val="none" w:color="000000" w:sz="4"/>
                    <w:left w:val="single" w:color="000000" w:sz="4"/>
                    <w:bottom w:val="single" w:color="000000" w:sz="4"/>
                    <w:right w:val="single" w:color="000000" w:sz="4"/>
                  </w:tcBorders>
                </w:tcP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2.负责各楼层、地下室、园区等日常巡逻管理。消防报警、电梯困人现场确认查看协助处理，物资搬运及突发情况支援等工作。</w:t>
                  </w:r>
                </w:p>
              </w:tc>
              <w:tc>
                <w:tcPr>
                  <w:tcW w:type="dxa" w:w="1161"/>
                  <w:vMerge/>
                  <w:tcBorders>
                    <w:top w:val="none" w:color="000000" w:sz="4"/>
                    <w:left w:val="none" w:color="000000" w:sz="4"/>
                    <w:bottom w:val="single" w:color="000000" w:sz="4"/>
                    <w:right w:val="single" w:color="000000" w:sz="4"/>
                  </w:tcBorders>
                </w:tcPr>
                <w:p/>
              </w:tc>
            </w:tr>
            <w:tr>
              <w:tc>
                <w:tcPr>
                  <w:tcW w:type="dxa" w:w="758"/>
                  <w:vMerge/>
                  <w:tcBorders>
                    <w:top w:val="none" w:color="000000" w:sz="4"/>
                    <w:left w:val="single" w:color="000000" w:sz="4"/>
                    <w:bottom w:val="single" w:color="000000" w:sz="4"/>
                    <w:right w:val="single" w:color="000000" w:sz="4"/>
                  </w:tcBorders>
                </w:tcP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3.负责人员进出管理。负责外来办事人员登记，保障无关人员不进入办公区域，关注电梯运行是否正常、大厅卫生是否整洁及时和相关部门。</w:t>
                  </w:r>
                </w:p>
              </w:tc>
              <w:tc>
                <w:tcPr>
                  <w:tcW w:type="dxa" w:w="1161"/>
                  <w:vMerge/>
                  <w:tcBorders>
                    <w:top w:val="none" w:color="000000" w:sz="4"/>
                    <w:left w:val="none" w:color="000000" w:sz="4"/>
                    <w:bottom w:val="single" w:color="000000" w:sz="4"/>
                    <w:right w:val="single" w:color="000000" w:sz="4"/>
                  </w:tcBorders>
                </w:tcPr>
                <w:p/>
              </w:tc>
            </w:tr>
            <w:tr>
              <w:tc>
                <w:tcPr>
                  <w:tcW w:type="dxa" w:w="758"/>
                  <w:vMerge/>
                  <w:tcBorders>
                    <w:top w:val="none" w:color="000000" w:sz="4"/>
                    <w:left w:val="single" w:color="000000" w:sz="4"/>
                    <w:bottom w:val="single" w:color="000000" w:sz="4"/>
                    <w:right w:val="single" w:color="000000" w:sz="4"/>
                  </w:tcBorders>
                </w:tcP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4.对接负责进出主楼来访人员、安全防范及公共秩序维护工作。</w:t>
                  </w:r>
                </w:p>
              </w:tc>
              <w:tc>
                <w:tcPr>
                  <w:tcW w:type="dxa" w:w="1161"/>
                  <w:vMerge/>
                  <w:tcBorders>
                    <w:top w:val="none" w:color="000000" w:sz="4"/>
                    <w:left w:val="none" w:color="000000" w:sz="4"/>
                    <w:bottom w:val="single" w:color="000000" w:sz="4"/>
                    <w:right w:val="single" w:color="000000" w:sz="4"/>
                  </w:tcBorders>
                </w:tcPr>
                <w:p/>
              </w:tc>
            </w:tr>
            <w:tr>
              <w:tc>
                <w:tcPr>
                  <w:tcW w:type="dxa" w:w="758"/>
                  <w:vMerge/>
                  <w:tcBorders>
                    <w:top w:val="none" w:color="000000" w:sz="4"/>
                    <w:left w:val="single" w:color="000000" w:sz="4"/>
                    <w:bottom w:val="single" w:color="000000" w:sz="4"/>
                    <w:right w:val="single" w:color="000000" w:sz="4"/>
                  </w:tcBorders>
                </w:tcP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5.消控设施设备日常巡检维护工作。</w:t>
                  </w:r>
                </w:p>
              </w:tc>
              <w:tc>
                <w:tcPr>
                  <w:tcW w:type="dxa" w:w="1161"/>
                  <w:vMerge/>
                  <w:tcBorders>
                    <w:top w:val="none" w:color="000000" w:sz="4"/>
                    <w:left w:val="none" w:color="000000" w:sz="4"/>
                    <w:bottom w:val="single" w:color="000000" w:sz="4"/>
                    <w:right w:val="single" w:color="000000" w:sz="4"/>
                  </w:tcBorders>
                </w:tcP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环境后勤维护人员</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所有公共区域卫生、设施设备、卫生间清洁、园区所有路面及设施设备及标识牌的清洁，车库卫生清洁、垃圾的处理工作等。</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男女不限</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工程维护人员</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主要负责园区设施设备日常维护保养、配电、给水设备日常巡检。</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限男性，年龄</w:t>
                  </w:r>
                  <w:r>
                    <w:rPr>
                      <w:rFonts w:ascii="仿宋_GB2312" w:hAnsi="仿宋_GB2312" w:cs="仿宋_GB2312" w:eastAsia="仿宋_GB2312"/>
                      <w:sz w:val="24"/>
                    </w:rPr>
                    <w:t>55周岁（含）以下，</w:t>
                  </w:r>
                  <w:r>
                    <w:rPr>
                      <w:rFonts w:ascii="仿宋_GB2312" w:hAnsi="仿宋_GB2312" w:cs="仿宋_GB2312" w:eastAsia="仿宋_GB2312"/>
                      <w:sz w:val="24"/>
                    </w:rPr>
                    <w:t>24小时轮流值班制</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会服人员</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负责项目客服、会务、档案管理、物资领用发放、日常巡楼、内勤工作等，协助主管开展日常管护、员工培训工作。</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限女性，年龄</w:t>
                  </w:r>
                  <w:r>
                    <w:rPr>
                      <w:rFonts w:ascii="仿宋_GB2312" w:hAnsi="仿宋_GB2312" w:cs="仿宋_GB2312" w:eastAsia="仿宋_GB2312"/>
                      <w:sz w:val="24"/>
                    </w:rPr>
                    <w:t>45周岁（含）以下</w:t>
                  </w:r>
                </w:p>
              </w:tc>
            </w:tr>
            <w:tr>
              <w:tc>
                <w:tcPr>
                  <w:tcW w:type="dxa" w:w="7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园林绿化造型师</w:t>
                  </w:r>
                </w:p>
              </w:tc>
              <w:tc>
                <w:tcPr>
                  <w:tcW w:type="dxa" w:w="36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主要负责园区园林绿化日常维护修剪保养。</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男女不限，年龄</w:t>
                  </w:r>
                  <w:r>
                    <w:rPr>
                      <w:rFonts w:ascii="仿宋_GB2312" w:hAnsi="仿宋_GB2312" w:cs="仿宋_GB2312" w:eastAsia="仿宋_GB2312"/>
                      <w:sz w:val="24"/>
                    </w:rPr>
                    <w:t>55周岁（含）以下</w:t>
                  </w:r>
                </w:p>
              </w:tc>
            </w:tr>
          </w:tbl>
          <w:p>
            <w:pPr>
              <w:pStyle w:val="null3"/>
              <w:jc w:val="center"/>
            </w:pPr>
            <w:r>
              <w:rPr>
                <w:rFonts w:ascii="仿宋_GB2312" w:hAnsi="仿宋_GB2312" w:cs="仿宋_GB2312" w:eastAsia="仿宋_GB2312"/>
                <w:sz w:val="24"/>
              </w:rPr>
              <w:t>宜宾市第二看守所人员配置</w:t>
            </w:r>
          </w:p>
          <w:tbl>
            <w:tblPr>
              <w:tblBorders>
                <w:top w:val="none" w:color="000000" w:sz="4"/>
                <w:left w:val="none" w:color="000000" w:sz="4"/>
                <w:bottom w:val="none" w:color="000000" w:sz="4"/>
                <w:right w:val="none" w:color="000000" w:sz="4"/>
                <w:insideH w:val="none"/>
                <w:insideV w:val="none"/>
              </w:tblBorders>
            </w:tblPr>
            <w:tblGrid>
              <w:gridCol w:w="789"/>
              <w:gridCol w:w="3628"/>
              <w:gridCol w:w="1180"/>
            </w:tblGrid>
            <w:tr>
              <w:tc>
                <w:tcPr>
                  <w:tcW w:type="dxa" w:w="789"/>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职务</w:t>
                  </w:r>
                </w:p>
              </w:tc>
              <w:tc>
                <w:tcPr>
                  <w:tcW w:type="dxa" w:w="3628"/>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职责</w:t>
                  </w:r>
                </w:p>
              </w:tc>
              <w:tc>
                <w:tcPr>
                  <w:tcW w:type="dxa" w:w="118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rPr>
                    <w:t>备注</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主管</w:t>
                  </w:r>
                  <w:r>
                    <w:rPr>
                      <w:rFonts w:ascii="仿宋_GB2312" w:hAnsi="仿宋_GB2312" w:cs="仿宋_GB2312" w:eastAsia="仿宋_GB2312"/>
                      <w:sz w:val="24"/>
                    </w:rPr>
                    <w:t>（</w:t>
                  </w:r>
                  <w:r>
                    <w:rPr>
                      <w:rFonts w:ascii="仿宋_GB2312" w:hAnsi="仿宋_GB2312" w:cs="仿宋_GB2312" w:eastAsia="仿宋_GB2312"/>
                      <w:sz w:val="24"/>
                    </w:rPr>
                    <w:t>兼会服人员</w:t>
                  </w:r>
                  <w:r>
                    <w:rPr>
                      <w:rFonts w:ascii="仿宋_GB2312" w:hAnsi="仿宋_GB2312" w:cs="仿宋_GB2312" w:eastAsia="仿宋_GB2312"/>
                      <w:sz w:val="24"/>
                    </w:rPr>
                    <w:t>）</w:t>
                  </w:r>
                </w:p>
              </w:tc>
              <w:tc>
                <w:tcPr>
                  <w:tcW w:type="dxa" w:w="3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持全面工作、突发事情的应急处理及办理业主临时交办的任务，负责项目客服、会务、档案管理、物资领用发放、日常巡楼、内勤工作等，协助主管开展日常管护、员工培训工作。主管人员不得在其他单位兼任。</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限女性，年龄</w:t>
                  </w:r>
                  <w:r>
                    <w:rPr>
                      <w:rFonts w:ascii="仿宋_GB2312" w:hAnsi="仿宋_GB2312" w:cs="仿宋_GB2312" w:eastAsia="仿宋_GB2312"/>
                      <w:sz w:val="24"/>
                    </w:rPr>
                    <w:t>50周岁（含）以下</w:t>
                  </w: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安保人员</w:t>
                  </w:r>
                </w:p>
              </w:tc>
              <w:tc>
                <w:tcPr>
                  <w:tcW w:type="dxa" w:w="3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1.负责门岗及其它岗位休息顶岗及物资搬运及其它岗位运行情况监督管理协调等工作。协助项运营主管开展日常管护工作。</w:t>
                  </w:r>
                </w:p>
              </w:tc>
              <w:tc>
                <w:tcPr>
                  <w:tcW w:type="dxa" w:w="11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w:t>
                  </w:r>
                  <w:r>
                    <w:rPr>
                      <w:rFonts w:ascii="仿宋_GB2312" w:hAnsi="仿宋_GB2312" w:cs="仿宋_GB2312" w:eastAsia="仿宋_GB2312"/>
                      <w:sz w:val="24"/>
                    </w:rPr>
                    <w:t>男性，年龄</w:t>
                  </w:r>
                  <w:r>
                    <w:rPr>
                      <w:rFonts w:ascii="仿宋_GB2312" w:hAnsi="仿宋_GB2312" w:cs="仿宋_GB2312" w:eastAsia="仿宋_GB2312"/>
                      <w:sz w:val="24"/>
                    </w:rPr>
                    <w:t>45周</w:t>
                  </w:r>
                  <w:r>
                    <w:rPr>
                      <w:rFonts w:ascii="仿宋_GB2312" w:hAnsi="仿宋_GB2312" w:cs="仿宋_GB2312" w:eastAsia="仿宋_GB2312"/>
                      <w:sz w:val="24"/>
                    </w:rPr>
                    <w:t>岁</w:t>
                  </w:r>
                  <w:r>
                    <w:rPr>
                      <w:rFonts w:ascii="仿宋_GB2312" w:hAnsi="仿宋_GB2312" w:cs="仿宋_GB2312" w:eastAsia="仿宋_GB2312"/>
                      <w:sz w:val="24"/>
                    </w:rPr>
                    <w:t>（含）</w:t>
                  </w:r>
                  <w:r>
                    <w:rPr>
                      <w:rFonts w:ascii="仿宋_GB2312" w:hAnsi="仿宋_GB2312" w:cs="仿宋_GB2312" w:eastAsia="仿宋_GB2312"/>
                      <w:sz w:val="24"/>
                    </w:rPr>
                    <w:t>以下，身体健康，无纹身，无犯罪记录</w:t>
                  </w:r>
                </w:p>
              </w:tc>
            </w:tr>
            <w:tr>
              <w:tc>
                <w:tcPr>
                  <w:tcW w:type="dxa" w:w="789"/>
                  <w:vMerge/>
                  <w:tcBorders>
                    <w:top w:val="none" w:color="000000" w:sz="4"/>
                    <w:left w:val="single" w:color="000000" w:sz="4"/>
                    <w:bottom w:val="single" w:color="000000" w:sz="4"/>
                    <w:right w:val="single" w:color="000000" w:sz="4"/>
                  </w:tcBorders>
                </w:tcPr>
                <w:p/>
              </w:tc>
              <w:tc>
                <w:tcPr>
                  <w:tcW w:type="dxa" w:w="3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2.负责各楼层、地下室、园区等日常巡逻管理。消防报警、电梯困人现场确认查看协助处理，物资搬运及突发情况支援等工作。</w:t>
                  </w:r>
                </w:p>
              </w:tc>
              <w:tc>
                <w:tcPr>
                  <w:tcW w:type="dxa" w:w="1180"/>
                  <w:vMerge/>
                  <w:tcBorders>
                    <w:top w:val="none" w:color="000000" w:sz="4"/>
                    <w:left w:val="none" w:color="000000" w:sz="4"/>
                    <w:bottom w:val="single" w:color="000000" w:sz="4"/>
                    <w:right w:val="single" w:color="000000" w:sz="4"/>
                  </w:tcBorders>
                </w:tcPr>
                <w:p/>
              </w:tc>
            </w:tr>
            <w:tr>
              <w:tc>
                <w:tcPr>
                  <w:tcW w:type="dxa" w:w="789"/>
                  <w:vMerge/>
                  <w:tcBorders>
                    <w:top w:val="none" w:color="000000" w:sz="4"/>
                    <w:left w:val="single" w:color="000000" w:sz="4"/>
                    <w:bottom w:val="single" w:color="000000" w:sz="4"/>
                    <w:right w:val="single" w:color="000000" w:sz="4"/>
                  </w:tcBorders>
                </w:tcPr>
                <w:p/>
              </w:tc>
              <w:tc>
                <w:tcPr>
                  <w:tcW w:type="dxa" w:w="3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3.负责人员进出管理。负责外来办事人员登记保障无关人员不进入办公区域，关注电梯运行是否正常、大厅卫生是否整洁及时和相关部门。</w:t>
                  </w:r>
                </w:p>
              </w:tc>
              <w:tc>
                <w:tcPr>
                  <w:tcW w:type="dxa" w:w="1180"/>
                  <w:vMerge/>
                  <w:tcBorders>
                    <w:top w:val="none" w:color="000000" w:sz="4"/>
                    <w:left w:val="none" w:color="000000" w:sz="4"/>
                    <w:bottom w:val="single" w:color="000000" w:sz="4"/>
                    <w:right w:val="single" w:color="000000" w:sz="4"/>
                  </w:tcBorders>
                </w:tcPr>
                <w:p/>
              </w:tc>
            </w:tr>
            <w:tr>
              <w:tc>
                <w:tcPr>
                  <w:tcW w:type="dxa" w:w="789"/>
                  <w:vMerge/>
                  <w:tcBorders>
                    <w:top w:val="none" w:color="000000" w:sz="4"/>
                    <w:left w:val="single" w:color="000000" w:sz="4"/>
                    <w:bottom w:val="single" w:color="000000" w:sz="4"/>
                    <w:right w:val="single" w:color="000000" w:sz="4"/>
                  </w:tcBorders>
                </w:tcPr>
                <w:p/>
              </w:tc>
              <w:tc>
                <w:tcPr>
                  <w:tcW w:type="dxa" w:w="3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4.对接负责进出口安全防范及公共秩序维护工作。外来访人员车辆进出停放管理、外来信访人员劝导、邮件快递收发、案管区铁门开关及外来参会车辆停放管理等工作。</w:t>
                  </w:r>
                </w:p>
              </w:tc>
              <w:tc>
                <w:tcPr>
                  <w:tcW w:type="dxa" w:w="1180"/>
                  <w:vMerge/>
                  <w:tcBorders>
                    <w:top w:val="none" w:color="000000" w:sz="4"/>
                    <w:left w:val="none" w:color="000000" w:sz="4"/>
                    <w:bottom w:val="single" w:color="000000" w:sz="4"/>
                    <w:right w:val="single" w:color="000000" w:sz="4"/>
                  </w:tcBorders>
                </w:tc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环境后勤维护员</w:t>
                  </w:r>
                </w:p>
              </w:tc>
              <w:tc>
                <w:tcPr>
                  <w:tcW w:type="dxa" w:w="3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所有公共区域卫生、设施设备、卫生间清洁、园区所有路面及设施设备及标识牌的清洁，车库卫生清洁、垃圾的处理工作等。</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男女不限</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工程维护人员</w:t>
                  </w:r>
                </w:p>
              </w:tc>
              <w:tc>
                <w:tcPr>
                  <w:tcW w:type="dxa" w:w="3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主要负责园区设施设备日常维护保养、配电、给水设备日常巡检。</w:t>
                  </w:r>
                </w:p>
              </w:tc>
              <w:tc>
                <w:tcPr>
                  <w:tcW w:type="dxa" w:w="1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限男性，年龄</w:t>
                  </w:r>
                  <w:r>
                    <w:rPr>
                      <w:rFonts w:ascii="仿宋_GB2312" w:hAnsi="仿宋_GB2312" w:cs="仿宋_GB2312" w:eastAsia="仿宋_GB2312"/>
                      <w:sz w:val="24"/>
                    </w:rPr>
                    <w:t>55周岁（含）以下，</w:t>
                  </w:r>
                  <w:r>
                    <w:rPr>
                      <w:rFonts w:ascii="仿宋_GB2312" w:hAnsi="仿宋_GB2312" w:cs="仿宋_GB2312" w:eastAsia="仿宋_GB2312"/>
                      <w:sz w:val="24"/>
                    </w:rPr>
                    <w:t>24小时轮流值班制</w:t>
                  </w:r>
                </w:p>
              </w:tc>
            </w:tr>
          </w:tbl>
          <w:p>
            <w:pPr>
              <w:pStyle w:val="null3"/>
              <w:jc w:val="both"/>
            </w:pPr>
            <w:r>
              <w:rPr>
                <w:rFonts w:ascii="仿宋_GB2312" w:hAnsi="仿宋_GB2312" w:cs="仿宋_GB2312" w:eastAsia="仿宋_GB2312"/>
                <w:sz w:val="24"/>
              </w:rPr>
              <w:t>人员总体要求：（</w:t>
            </w:r>
            <w:r>
              <w:rPr>
                <w:rFonts w:ascii="仿宋_GB2312" w:hAnsi="仿宋_GB2312" w:cs="仿宋_GB2312" w:eastAsia="仿宋_GB2312"/>
                <w:sz w:val="24"/>
              </w:rPr>
              <w:t>1）成交供应商提供的项目服务人员上岗前需经过采购人政审，政审合格后方能上岗。服务期间，成交供应商如要更换安保人员，需提前15日报采购人备案。</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）成交供应商应与项目服务人员签订劳动合同，并按照国家和地方法律法规缴纳社保（人员社会保险不得低于宜宾市最新企业员工</w:t>
            </w:r>
            <w:r>
              <w:rPr>
                <w:rFonts w:ascii="仿宋_GB2312" w:hAnsi="仿宋_GB2312" w:cs="仿宋_GB2312" w:eastAsia="仿宋_GB2312"/>
                <w:sz w:val="24"/>
              </w:rPr>
              <w:t>最低社保标准）</w:t>
            </w:r>
            <w:r>
              <w:rPr>
                <w:rFonts w:ascii="仿宋_GB2312" w:hAnsi="仿宋_GB2312" w:cs="仿宋_GB2312" w:eastAsia="仿宋_GB2312"/>
                <w:sz w:val="24"/>
              </w:rPr>
              <w:t>和发放工资、节假日值班、周末加班、工作日加班、应急保障值班等情况下的加班费等，所有项目服务人员必须购买意外险。项目服务人员由成交供应商自行管理，承担本项目全部人员的工伤、意外等全部责任，如工作期间发生意外，由成交供应商承担全部责任，与采购人无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成交供应商需确保项目服务人员身体、心理健康，采购人有权查验项目服务人员当年体检报告，如项目服务人员出现身体不适合本工作的情况下，成交供应商应及时更换项目服务人员并做好更换人员的善后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成交供应商必须配合采购人对项目服务人员进行岗前培训，并签订保密协议。并定期对项目服务人员进行职业道德教育、保密教育和安全教育，端正项目服务人员态度，提高服务质量。督促上岗人员遵守采购人的各项规章制度及工作规范，维护采购人形象，服从领导。对不遵守劳动纪律，工作作风拖拉的员工，经查实后应酌情处罚，情节严重的采购人有权要求成交供应商进行更换。</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5）供应商须提供项目服务人员工作所需的服装等必要装备。</w:t>
            </w:r>
          </w:p>
          <w:p>
            <w:pPr>
              <w:pStyle w:val="null3"/>
              <w:ind w:firstLine="480"/>
              <w:jc w:val="both"/>
            </w:pPr>
            <w:r>
              <w:rPr>
                <w:rFonts w:ascii="仿宋_GB2312" w:hAnsi="仿宋_GB2312" w:cs="仿宋_GB2312" w:eastAsia="仿宋_GB2312"/>
                <w:sz w:val="24"/>
              </w:rPr>
              <w:t>安保人员要求：男性，年龄</w:t>
            </w:r>
            <w:r>
              <w:rPr>
                <w:rFonts w:ascii="仿宋_GB2312" w:hAnsi="仿宋_GB2312" w:cs="仿宋_GB2312" w:eastAsia="仿宋_GB2312"/>
                <w:sz w:val="24"/>
              </w:rPr>
              <w:t>45周岁以下，身体健康，无纹身，无犯罪记录。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6）所有人员工作时间根据业主上班时间和相关规定执行。</w:t>
            </w:r>
          </w:p>
          <w:p>
            <w:pPr>
              <w:pStyle w:val="null3"/>
              <w:ind w:firstLine="480"/>
              <w:jc w:val="both"/>
            </w:pPr>
            <w:r>
              <w:rPr>
                <w:rFonts w:ascii="仿宋_GB2312" w:hAnsi="仿宋_GB2312" w:cs="仿宋_GB2312" w:eastAsia="仿宋_GB2312"/>
                <w:sz w:val="24"/>
              </w:rPr>
              <w:t>（六）服务质量考核要求</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.日常服务考核办法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1）考核因素及分值：</w:t>
            </w:r>
          </w:p>
          <w:p>
            <w:pPr>
              <w:pStyle w:val="null3"/>
              <w:ind w:firstLine="480"/>
              <w:jc w:val="both"/>
            </w:pPr>
            <w:r>
              <w:rPr>
                <w:rFonts w:ascii="仿宋_GB2312" w:hAnsi="仿宋_GB2312" w:cs="仿宋_GB2312" w:eastAsia="仿宋_GB2312"/>
                <w:sz w:val="24"/>
              </w:rPr>
              <w:t>人员制度内部管理</w:t>
            </w:r>
            <w:r>
              <w:rPr>
                <w:rFonts w:ascii="仿宋_GB2312" w:hAnsi="仿宋_GB2312" w:cs="仿宋_GB2312" w:eastAsia="仿宋_GB2312"/>
                <w:sz w:val="24"/>
              </w:rPr>
              <w:t>12分，安保服务36分，后勤服务15分，园林绿化维护服务6分，设施设备安保维修服务17分，会务管理服务8分，投诉检查整改项6分。</w:t>
            </w:r>
          </w:p>
          <w:p>
            <w:pPr>
              <w:pStyle w:val="null3"/>
              <w:jc w:val="center"/>
            </w:pPr>
            <w:r>
              <w:rPr>
                <w:rFonts w:ascii="仿宋_GB2312" w:hAnsi="仿宋_GB2312" w:cs="仿宋_GB2312" w:eastAsia="仿宋_GB2312"/>
                <w:sz w:val="28"/>
              </w:rPr>
              <w:t>宜宾市公安局监所管理中心安保服务项目季度考核评估表</w:t>
            </w:r>
          </w:p>
          <w:p>
            <w:pPr>
              <w:pStyle w:val="null3"/>
              <w:jc w:val="both"/>
            </w:pPr>
            <w:r>
              <w:rPr>
                <w:rFonts w:ascii="仿宋_GB2312" w:hAnsi="仿宋_GB2312" w:cs="仿宋_GB2312" w:eastAsia="仿宋_GB2312"/>
                <w:sz w:val="24"/>
              </w:rPr>
              <w:t>日期：</w:t>
            </w:r>
            <w:r>
              <w:rPr>
                <w:rFonts w:ascii="仿宋_GB2312" w:hAnsi="仿宋_GB2312" w:cs="仿宋_GB2312" w:eastAsia="仿宋_GB2312"/>
                <w:sz w:val="24"/>
              </w:rPr>
              <w:t xml:space="preserve">   </w:t>
            </w: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r>
              <w:rPr>
                <w:rFonts w:ascii="仿宋_GB2312" w:hAnsi="仿宋_GB2312" w:cs="仿宋_GB2312" w:eastAsia="仿宋_GB2312"/>
                <w:sz w:val="24"/>
              </w:rPr>
              <w:t xml:space="preserve">                              </w:t>
            </w:r>
            <w:r>
              <w:rPr>
                <w:rFonts w:ascii="仿宋_GB2312" w:hAnsi="仿宋_GB2312" w:cs="仿宋_GB2312" w:eastAsia="仿宋_GB2312"/>
                <w:sz w:val="24"/>
              </w:rPr>
              <w:t>考评人：</w:t>
            </w:r>
          </w:p>
          <w:tbl>
            <w:tblPr>
              <w:tblBorders>
                <w:top w:val="none" w:color="000000" w:sz="4"/>
                <w:left w:val="none" w:color="000000" w:sz="4"/>
                <w:bottom w:val="none" w:color="000000" w:sz="4"/>
                <w:right w:val="none" w:color="000000" w:sz="4"/>
                <w:insideH w:val="none"/>
                <w:insideV w:val="none"/>
              </w:tblBorders>
            </w:tblPr>
            <w:tblGrid>
              <w:gridCol w:w="321"/>
              <w:gridCol w:w="516"/>
              <w:gridCol w:w="391"/>
              <w:gridCol w:w="2732"/>
              <w:gridCol w:w="414"/>
              <w:gridCol w:w="336"/>
              <w:gridCol w:w="869"/>
            </w:tblGrid>
            <w:tr>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序号</w:t>
                  </w:r>
                </w:p>
              </w:tc>
              <w:tc>
                <w:tcPr>
                  <w:tcW w:type="dxa" w:w="5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项目</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总分</w:t>
                  </w:r>
                </w:p>
              </w:tc>
              <w:tc>
                <w:tcPr>
                  <w:tcW w:type="dxa" w:w="27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参考标准内容</w:t>
                  </w:r>
                </w:p>
              </w:tc>
              <w:tc>
                <w:tcPr>
                  <w:tcW w:type="dxa" w:w="4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分值</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评分</w:t>
                  </w:r>
                </w:p>
              </w:tc>
              <w:tc>
                <w:tcPr>
                  <w:tcW w:type="dxa" w:w="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评分细则</w:t>
                  </w: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人员制度内部</w:t>
                  </w:r>
                </w:p>
                <w:p>
                  <w:pPr>
                    <w:pStyle w:val="null3"/>
                    <w:jc w:val="left"/>
                  </w:pPr>
                  <w:r>
                    <w:rPr>
                      <w:rFonts w:ascii="仿宋_GB2312" w:hAnsi="仿宋_GB2312" w:cs="仿宋_GB2312" w:eastAsia="仿宋_GB2312"/>
                      <w:sz w:val="24"/>
                    </w:rPr>
                    <w:t>管理</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12分</w:t>
                  </w: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1、实行持证上岗制度。</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凡有</w:t>
                  </w:r>
                  <w:r>
                    <w:rPr>
                      <w:rFonts w:ascii="仿宋_GB2312" w:hAnsi="仿宋_GB2312" w:cs="仿宋_GB2312" w:eastAsia="仿宋_GB2312"/>
                      <w:sz w:val="24"/>
                    </w:rPr>
                    <w:t>1人不符合，扣除1分</w:t>
                  </w: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2、项目投标时所承诺的项目工作人员，必须和承接此项目后开展工作的团队人员相符，未征得甲方同意不得更换团队成员。</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3、有健全的财务会计制度，运作规范</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完全符合得满分，部分符合相应递减，不符合得</w:t>
                  </w:r>
                  <w:r>
                    <w:rPr>
                      <w:rFonts w:ascii="仿宋_GB2312" w:hAnsi="仿宋_GB2312" w:cs="仿宋_GB2312" w:eastAsia="仿宋_GB2312"/>
                      <w:sz w:val="24"/>
                    </w:rPr>
                    <w:t>0分</w:t>
                  </w: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4、健全考核制度，岗位职责，工作流程。建立各类应急预案。</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安保维护服务</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36分</w:t>
                  </w: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1、项目24小时有治安管理人员和值班电话。</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完全符合得满分，部分符合相应递减，不符合得</w:t>
                  </w:r>
                  <w:r>
                    <w:rPr>
                      <w:rFonts w:ascii="仿宋_GB2312" w:hAnsi="仿宋_GB2312" w:cs="仿宋_GB2312" w:eastAsia="仿宋_GB2312"/>
                      <w:sz w:val="24"/>
                    </w:rPr>
                    <w:t>0分</w:t>
                  </w: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2、项目内公共安保良好。发生火警事故、交通事故等紧急情况时，安保服务人员应保护现场，并上报有关主管部门，无借故推诿和拖沓现象。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3、安保人员着装整齐，熟悉项目情况，文明值勤、不徇私舞弊。</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4、安保人员执行严格的交接班制度，有书面的交接班记录，交班治安管理人员把需要在值班中继续注意或处理的问题向接班人员交代清楚。</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5、对进出项目的外来车辆进行登记，对携带大宗物品外出的实行登记制度。</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6、车辆停放规范有序，机动车和非机动车实行分区域停放。</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7、项目内建立消防责任制，工作人员掌握基本消防技能。消防设施设备完好、放置合理、定期检修，随时可以启用。消防台帐账务相符。</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8、定期开展消防演习，消防培训。</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9、队员熟悉岗位职责和工作流程，掌握火灾、大风、暴雨等方面突发事件的应急措施及就生知识。节假日前有安全检查。</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p>
                  <w:pPr>
                    <w:pStyle w:val="null3"/>
                    <w:jc w:val="left"/>
                  </w:pPr>
                </w:p>
              </w:tc>
              <w:tc>
                <w:tcPr>
                  <w:tcW w:type="dxa" w:w="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后勤服务制度</w:t>
                  </w:r>
                </w:p>
                <w:p>
                  <w:pPr>
                    <w:pStyle w:val="null3"/>
                    <w:jc w:val="left"/>
                  </w:pP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15分</w:t>
                  </w:r>
                </w:p>
                <w:p>
                  <w:pPr>
                    <w:pStyle w:val="null3"/>
                    <w:jc w:val="left"/>
                  </w:p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1、后勤服务管理制度完善并落实。实行标准化清扫卫生清洁，保证重要办公室、会议室等内外和公共场地整洁、舒适，每日上午、下午至少各完成1次清洁。实行微笑服务，态度和蔼，不得与工作人员发生争执。</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完全符合得满分，每有一项不符合扣</w:t>
                  </w:r>
                  <w:r>
                    <w:rPr>
                      <w:rFonts w:ascii="仿宋_GB2312" w:hAnsi="仿宋_GB2312" w:cs="仿宋_GB2312" w:eastAsia="仿宋_GB2312"/>
                      <w:sz w:val="24"/>
                    </w:rPr>
                    <w:t>0.5分，不符合得0分</w:t>
                  </w: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2、公共区域的地面、墙面、楼梯、扶手、踢脚线、台阶、梯道大门、走廊、大厅、消火栓箱表面、灭火器、开关面板、消防报警按钮等整洁干净，无垃圾、无积灰、无污渍、无手印。</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3、电梯轿厢内外、灯具、沟槽、墙面、吊顶、灯罩、门、窗（含2米以下内外玻璃）整洁程度。公共区域的地面光洁及垃圾的收集处理及屋顶平台等保洁消毒情况。</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4、卫生间、茶水间地面清洁无异味，物品摆放有序，无垃圾、无污迹、无积水、无堆积杂物，洁具、台面、镜面等光洁无水迹，电器设施外观清洁。</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5、会议室内桌椅、设备卫生清洁情况，室内绿化物、地下车库等整洁程度。</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6、室外广场、道路、停车场（库）、雨水沟管道、“门前三包”等公共区域的地面干净无杂物、无积水和淤泥、污垢。</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垃圾、废弃物按分类要求收集，日产日清，每月定期开展垃圾清运；定期对化粪池进行清理及处理清掏出的废泄物，保持常年清洁；垃圾桶（房）外侧表面清洁、内侧无残留物，无异味；定期开展消毒灭害活动，对窨井、明沟、垃圾桶（房）等喷洒药水。</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花木植物摆放品种、数量、规格符合招标文件要求。项目内植物种植的成活率达到100%。病虫害防治率100%，危害率低于5%。植株修剪及时，做到枝叶紧密、圆整，无脱节、无倾斜，无枯枝死杈。绿植长势良好，无残叶、杂草。</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设施设备安保维修</w:t>
                  </w:r>
                </w:p>
                <w:p>
                  <w:pPr>
                    <w:pStyle w:val="null3"/>
                    <w:jc w:val="left"/>
                  </w:pPr>
                  <w:r>
                    <w:rPr>
                      <w:rFonts w:ascii="仿宋_GB2312" w:hAnsi="仿宋_GB2312" w:cs="仿宋_GB2312" w:eastAsia="仿宋_GB2312"/>
                      <w:sz w:val="24"/>
                    </w:rPr>
                    <w:t>服务</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17分</w:t>
                  </w: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1、设施设备安全管理制度及操作规程完善并落实。落实保证大楼各项设备设施安全有效运行。</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完全符合得满分，每有一项不符合扣</w:t>
                  </w:r>
                  <w:r>
                    <w:rPr>
                      <w:rFonts w:ascii="仿宋_GB2312" w:hAnsi="仿宋_GB2312" w:cs="仿宋_GB2312" w:eastAsia="仿宋_GB2312"/>
                      <w:sz w:val="24"/>
                    </w:rPr>
                    <w:t>0.5分，不符合得0分</w:t>
                  </w: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2、电气设备、照明完好率达到100%，供电线路及后备电源、照明灯具、中央空调室内机组的检查和维护，发现损坏做好维修。</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3、配备专职人员上岗，正确操作各项电器设备，做好原始记录；定时检查巡视高低压配电系统，并抄录各种表计，发现设备出现异常和故障，应通知有关部门进行检修，并做好记录。</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4、给排水设备运行正常，设施完好，无跑冒滴漏；机房整洁无积尘、积水，无杂物。</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5、电梯设备、中央空调完好，运行正常。管道、阀门无跑冒滴漏现象及事故隐患。</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6、实行24小时工程运行维修值班制度。接到报修后30分钟内到现场并排除故障，维修合格率为100％，零返修。微笑服务、文明施工、安全操作，维修工作完成后做好现场清理工作。</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7、积极配合维保单位做好对大楼的各项设备的维护保养工作。发现问题及时处置，并做好记录。</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8、负责制定所管辖系统设备月度和年度的维修保养计划和备品、备件计划，定期报送监管部门审定，并负责组织安排维修保养计划的实施，制定工作标准，督导下属保证工作质量。</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会务管理服务</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8分分</w:t>
                  </w: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会务物资与环境布置有序，各会务设备设施使用正常并符合会务要求。</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完全符合得满分，每有一项不符合扣</w:t>
                  </w:r>
                  <w:r>
                    <w:rPr>
                      <w:rFonts w:ascii="仿宋_GB2312" w:hAnsi="仿宋_GB2312" w:cs="仿宋_GB2312" w:eastAsia="仿宋_GB2312"/>
                      <w:sz w:val="24"/>
                    </w:rPr>
                    <w:t>0.5分，不符合得0分</w:t>
                  </w: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遵守会务管理制度，根据会务需求清单提供相应会务管理服务。</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会务管理服务流程与职责清晰，会务保障工作及时有序。</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会务管理服务现场清理及时，设施设备检查到位，确保会场随时可以参观使用。</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园林绿化维护服务</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6分</w:t>
                  </w: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根据生长环境、植物特性进行除草、灌溉、施肥、整形修剪、防治病虫害等。</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完全符合得满分，每有一项不符合扣</w:t>
                  </w:r>
                  <w:r>
                    <w:rPr>
                      <w:rFonts w:ascii="仿宋_GB2312" w:hAnsi="仿宋_GB2312" w:cs="仿宋_GB2312" w:eastAsia="仿宋_GB2312"/>
                      <w:sz w:val="24"/>
                    </w:rPr>
                    <w:t>0.5分，不符合得0分</w:t>
                  </w: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根据生长情况修剪绿地，绿地内无枯草、无杂物，无干枯坏死和病虫侵害，基本无裸露土地。定期修剪树木、花卉等，灌乔木生长正常、造型美观自然、花枝新鲜，无枯叶、无病虫、无死树缺株。</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绿篱生长造型正常，颜色正常，修剪及时，基本无死株和干死株，有虫株率在</w:t>
                  </w:r>
                  <w:r>
                    <w:rPr>
                      <w:rFonts w:ascii="仿宋_GB2312" w:hAnsi="仿宋_GB2312" w:cs="仿宋_GB2312" w:eastAsia="仿宋_GB2312"/>
                      <w:sz w:val="24"/>
                    </w:rPr>
                    <w:t>10%以下。清除花坛和花景的花蒂、黄叶、杂草、垃圾，做好病虫害防治。</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51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投诉检查整改项</w:t>
                  </w:r>
                </w:p>
              </w:tc>
              <w:tc>
                <w:tcPr>
                  <w:tcW w:type="dxa" w:w="39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6分</w:t>
                  </w: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1、建立完善的投诉响应机制，并能妥善处理各类投诉及建议，给予投诉客户答复。</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①投诉事件经认定属实，未妥善处理或未答复，扣1分。②符合得2分，基本符合得1分，不符合得0分</w:t>
                  </w: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2、检查整改有效落实。</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vMerge/>
                  <w:tcBorders>
                    <w:top w:val="none" w:color="000000" w:sz="4"/>
                    <w:left w:val="single" w:color="000000" w:sz="4"/>
                    <w:bottom w:val="single" w:color="000000" w:sz="4"/>
                    <w:right w:val="single" w:color="000000" w:sz="4"/>
                  </w:tcBorders>
                </w:tcPr>
                <w:p/>
              </w:tc>
              <w:tc>
                <w:tcPr>
                  <w:tcW w:type="dxa" w:w="516"/>
                  <w:vMerge/>
                  <w:tcBorders>
                    <w:top w:val="none" w:color="000000" w:sz="4"/>
                    <w:left w:val="none" w:color="000000" w:sz="4"/>
                    <w:bottom w:val="single" w:color="000000" w:sz="4"/>
                    <w:right w:val="single" w:color="000000" w:sz="4"/>
                  </w:tcBorders>
                </w:tcPr>
                <w:p/>
              </w:tc>
              <w:tc>
                <w:tcPr>
                  <w:tcW w:type="dxa" w:w="391"/>
                  <w:vMerge/>
                  <w:tcBorders>
                    <w:top w:val="none" w:color="000000" w:sz="4"/>
                    <w:left w:val="none" w:color="000000" w:sz="4"/>
                    <w:bottom w:val="single" w:color="000000" w:sz="4"/>
                    <w:right w:val="single" w:color="000000" w:sz="4"/>
                  </w:tcBorders>
                </w:tcPr>
                <w:p/>
              </w:tc>
              <w:tc>
                <w:tcPr>
                  <w:tcW w:type="dxa" w:w="27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3、无其它违反甲方相关规定之事项。</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869"/>
                  <w:vMerge/>
                  <w:tcBorders>
                    <w:top w:val="none" w:color="000000" w:sz="4"/>
                    <w:left w:val="none" w:color="000000" w:sz="4"/>
                    <w:bottom w:val="single" w:color="000000" w:sz="4"/>
                    <w:right w:val="single" w:color="000000" w:sz="4"/>
                  </w:tcBorders>
                </w:tcP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标准分</w:t>
                  </w:r>
                </w:p>
              </w:tc>
              <w:tc>
                <w:tcPr>
                  <w:tcW w:type="dxa" w:w="38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100分</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5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总得分</w:t>
                  </w:r>
                </w:p>
              </w:tc>
              <w:tc>
                <w:tcPr>
                  <w:tcW w:type="dxa" w:w="387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考核实际得分</w:t>
                  </w:r>
                </w:p>
              </w:tc>
              <w:tc>
                <w:tcPr>
                  <w:tcW w:type="dxa" w:w="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jc w:val="both"/>
            </w:pPr>
            <w:r>
              <w:rPr>
                <w:rFonts w:ascii="仿宋_GB2312" w:hAnsi="仿宋_GB2312" w:cs="仿宋_GB2312" w:eastAsia="仿宋_GB2312"/>
                <w:sz w:val="24"/>
              </w:rPr>
              <w:t>供应商应为本项目提供</w:t>
            </w:r>
            <w:r>
              <w:rPr>
                <w:rFonts w:ascii="仿宋_GB2312" w:hAnsi="仿宋_GB2312" w:cs="仿宋_GB2312" w:eastAsia="仿宋_GB2312"/>
                <w:sz w:val="24"/>
              </w:rPr>
              <w:t>项目总体服务方案</w:t>
            </w:r>
            <w:r>
              <w:rPr>
                <w:rFonts w:ascii="仿宋_GB2312" w:hAnsi="仿宋_GB2312" w:cs="仿宋_GB2312" w:eastAsia="仿宋_GB2312"/>
                <w:sz w:val="24"/>
              </w:rPr>
              <w:t>、</w:t>
            </w:r>
            <w:r>
              <w:rPr>
                <w:rFonts w:ascii="仿宋_GB2312" w:hAnsi="仿宋_GB2312" w:cs="仿宋_GB2312" w:eastAsia="仿宋_GB2312"/>
                <w:sz w:val="24"/>
              </w:rPr>
              <w:t>安保服务方案</w:t>
            </w:r>
            <w:r>
              <w:rPr>
                <w:rFonts w:ascii="仿宋_GB2312" w:hAnsi="仿宋_GB2312" w:cs="仿宋_GB2312" w:eastAsia="仿宋_GB2312"/>
                <w:sz w:val="24"/>
              </w:rPr>
              <w:t>、</w:t>
            </w:r>
            <w:r>
              <w:rPr>
                <w:rFonts w:ascii="仿宋_GB2312" w:hAnsi="仿宋_GB2312" w:cs="仿宋_GB2312" w:eastAsia="仿宋_GB2312"/>
                <w:sz w:val="24"/>
              </w:rPr>
              <w:t>应急处理突发情况方案</w:t>
            </w:r>
            <w:r>
              <w:rPr>
                <w:rFonts w:ascii="仿宋_GB2312" w:hAnsi="仿宋_GB2312" w:cs="仿宋_GB2312" w:eastAsia="仿宋_GB2312"/>
                <w:sz w:val="24"/>
              </w:rPr>
              <w:t>、设施设备维修服务方案、</w:t>
            </w:r>
            <w:r>
              <w:rPr>
                <w:rFonts w:ascii="仿宋_GB2312" w:hAnsi="仿宋_GB2312" w:cs="仿宋_GB2312" w:eastAsia="仿宋_GB2312"/>
                <w:sz w:val="24"/>
              </w:rPr>
              <w:t>会务服务方案</w:t>
            </w:r>
            <w:r>
              <w:rPr>
                <w:rFonts w:ascii="仿宋_GB2312" w:hAnsi="仿宋_GB2312" w:cs="仿宋_GB2312" w:eastAsia="仿宋_GB2312"/>
                <w:sz w:val="24"/>
              </w:rPr>
              <w:t>、</w:t>
            </w:r>
            <w:r>
              <w:rPr>
                <w:rFonts w:ascii="仿宋_GB2312" w:hAnsi="仿宋_GB2312" w:cs="仿宋_GB2312" w:eastAsia="仿宋_GB2312"/>
                <w:sz w:val="24"/>
              </w:rPr>
              <w:t>后勤服务方案</w:t>
            </w:r>
            <w:r>
              <w:rPr>
                <w:rFonts w:ascii="仿宋_GB2312" w:hAnsi="仿宋_GB2312" w:cs="仿宋_GB2312" w:eastAsia="仿宋_GB2312"/>
                <w:sz w:val="24"/>
              </w:rPr>
              <w:t>、</w:t>
            </w:r>
            <w:r>
              <w:rPr>
                <w:rFonts w:ascii="仿宋_GB2312" w:hAnsi="仿宋_GB2312" w:cs="仿宋_GB2312" w:eastAsia="仿宋_GB2312"/>
                <w:sz w:val="24"/>
              </w:rPr>
              <w:t>特殊场所专项服务方案。</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宜宾市公安局监所管理中心、宜宾市第二看守所</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符合国家、行业标准、四川省地方标准规定的验收标准。严格按照《财政部关于进一步加强政府采购需求和履约验收管理的指导意见》（财库（2016)205号）、《政府采购需求管理办法》(财库（2021)22号）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服务费根据季度测评结果按季度向成交供应商支付，成交供应商提供服务费用有效票据，达到付款条件起7日，支付合同金额的25%。按进度进行付款，服务费用每季度支付一次。每季度第一个月支付上个季度费用；上季度考核分值以90分为合格，当考核平均分为90分及以上时，支付全额费用。本季度考核为85-90分（不含90分）扣减当季度费用1%，本季度考核为80-85分（不含85分）扣减当季度费用2%，考核平均分为75-80（不含80分）扣减当季度费用3%，本季度考核70-75（不含75分）扣减当季度费用4%。本季度考核为70分以下时甲方有权单方面无条件解除合同，达到付款条件起7日内，支付合同总金额的25.00%</w:t>
            </w:r>
          </w:p>
          <w:p>
            <w:pPr>
              <w:pStyle w:val="null3"/>
              <w:jc w:val="left"/>
            </w:pPr>
            <w:r>
              <w:rPr>
                <w:rFonts w:ascii="仿宋_GB2312" w:hAnsi="仿宋_GB2312" w:cs="仿宋_GB2312" w:eastAsia="仿宋_GB2312"/>
              </w:rPr>
              <w:t>2、服务费根据季度测评结果按季度向成交供应商支付，成交供应商提供服务费用有效票据，达到付款条件起7日，支付合同金额的25%。按进度进行付款，服务费用每季度支付一次。每季度第一个月支付上个季度费用；上季度考核分值以90分为合格，当考核平均分为90分及以上时，支付全额费用。本季度考核为85-90分（不含90分）扣减当季度费用1%，本季度考核为80-85分（不含85分）扣减当季度费用2%，考核平均分为75-80（不含80分）扣减当季度费用3%，本季度考核70-75（不含75分）扣减当季度费用4%。本季度考核为70分以下时甲方有权单方面无条件解除合同，达到付款条件起7日内，支付合同总金额的25.00%</w:t>
            </w:r>
          </w:p>
          <w:p>
            <w:pPr>
              <w:pStyle w:val="null3"/>
              <w:jc w:val="left"/>
            </w:pPr>
            <w:r>
              <w:rPr>
                <w:rFonts w:ascii="仿宋_GB2312" w:hAnsi="仿宋_GB2312" w:cs="仿宋_GB2312" w:eastAsia="仿宋_GB2312"/>
              </w:rPr>
              <w:t>3、服务费根据季度测评结果按季度向成交供应商支付，成交供应商提供服务费用有效票据，达到付款条件起7日，支付合同金额的25%。按进度进行付款，服务费用每季度支付一次。每季度第一个月支付上个季度费用；上季度考核分值以90分为合格，当考核平均分为90分及以上时，支付全额费用。本季度考核为85-90分（不含90分）扣减当季度费用1%，本季度考核为80-85分（不含85分）扣减当季度费用2%，考核平均分为75-80（不含80分）扣减当季度费用3%，本季度考核70-75（不含75分）扣减当季度费用4%。本季度考核为70分以下时甲方有权单方面无条件解除合同，达到付款条件起7日内，支付合同总金额的25.00%</w:t>
            </w:r>
          </w:p>
          <w:p>
            <w:pPr>
              <w:pStyle w:val="null3"/>
              <w:jc w:val="left"/>
            </w:pPr>
            <w:r>
              <w:rPr>
                <w:rFonts w:ascii="仿宋_GB2312" w:hAnsi="仿宋_GB2312" w:cs="仿宋_GB2312" w:eastAsia="仿宋_GB2312"/>
              </w:rPr>
              <w:t>4、服务费根据季度测评结果按季度向成交供应商支付，成交供应商提供服务费用有效票据，达到付款条件起7日，支付合同金额的25%。按进度进行付款，服务费用每季度支付一次。每季度第一个月支付上个季度费用；上季度考核分值以90分为合格，当考核平均分为90分及以上时，支付全额费用。本季度考核为85-90分（不含90分）扣减当季度费用1%，本季度考核为80-85分（不含85分）扣减当季度费用2%，考核平均分为75-80（不含80分）扣减当季度费用3%，本季度考核70-75（不含75分）扣减当季度费用4%。本季度考核为70分以下时甲方有权单方面无条件解除合同，达到付款条件起7日内，支付合同总金额的25.00%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如因成交供应商工作人员在履行职务过程中的疏忽、失职、过错等故意或者过失原因给采购人造成损失或侵害，包括但不限于采购人本身的财产损失、由此而导致的采购人对任何第三方的法律责任等，成交供应商对此均应承担全部的赔偿责任。（2）合同履行期间，若双方发生争议，可协商或由有关部门调解解决，协商或调解不成的，由当事人依法法向法院提起诉讼维护其合法权益。</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1.成交通知书发出后10日内签订采购合同。2. 采购合同一年一签，每年考核合格（四个季度考核分数平均分达到90分及以上为考核合格）后续签下一年度合同，最多可续签两年。3.本项目合同分包仅针对专业性较强的项目如电梯维保、消防维保可以进行分包，分包单位需具备行政主管部门颁发的相应资质。4.供应商须按以下要求进行报价：（1）供应商应将涉及本项目的所有支出事项均作为本项目报价构成。（2）供应商或供应商拟配置服务人员依法依规享受优惠或减免等政策，包括但不限于工资、社保等，供应商依法依规享受优惠或减免等政策的须提供政府部门相应证明材料或政策文件及供应商的情况说明，如为拟配置服务人员享受优惠或减免等政策的，除提供以上证明外，还应提供相应人员的身份证复印件，并承诺享受优惠或减免的人员是为本项目提供服务的人员。若供应商享受优惠或减免等政策，享受期不能覆盖完本项目服务期限的，按已覆盖项目服务期与未覆盖项目服务期进行分段计算并平均到服务期内。（3）供应商社保、工资标准计算应符合本项目采购公告发布之日的实时政策，服务周期内的费率变化风险由供应商自行承担。（以上皆为实质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技术、服务及其他要求</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拟签订采购合同文本</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具有公安部门颁发有效的《保安服务许可证》</w:t>
            </w:r>
          </w:p>
        </w:tc>
        <w:tc>
          <w:tcPr>
            <w:tcW w:type="dxa" w:w="3322"/>
          </w:tcPr>
          <w:p>
            <w:pPr>
              <w:pStyle w:val="null3"/>
              <w:jc w:val="left"/>
            </w:pPr>
            <w:r>
              <w:rPr>
                <w:rFonts w:ascii="仿宋_GB2312" w:hAnsi="仿宋_GB2312" w:cs="仿宋_GB2312" w:eastAsia="仿宋_GB2312"/>
              </w:rPr>
              <w:t>具有公安部门颁发有效的《保安服务许可证》</w:t>
            </w:r>
          </w:p>
        </w:tc>
        <w:tc>
          <w:tcPr>
            <w:tcW w:type="dxa" w:w="1910"/>
          </w:tcPr>
          <w:p>
            <w:pPr>
              <w:pStyle w:val="null3"/>
              <w:jc w:val="left"/>
            </w:pPr>
            <w:r>
              <w:rPr>
                <w:rFonts w:ascii="仿宋_GB2312" w:hAnsi="仿宋_GB2312" w:cs="仿宋_GB2312" w:eastAsia="仿宋_GB2312"/>
              </w:rPr>
              <w:t>供应商应提交的相关证明材料,投标（响应）函</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采购文件其他实质性要求</w:t>
            </w:r>
          </w:p>
        </w:tc>
        <w:tc>
          <w:tcPr>
            <w:tcW w:type="dxa" w:w="3322"/>
          </w:tcPr>
          <w:p>
            <w:pPr>
              <w:pStyle w:val="null3"/>
              <w:jc w:val="left"/>
            </w:pPr>
            <w:r>
              <w:rPr>
                <w:rFonts w:ascii="仿宋_GB2312" w:hAnsi="仿宋_GB2312" w:cs="仿宋_GB2312" w:eastAsia="仿宋_GB2312"/>
              </w:rPr>
              <w:t>对采购文件其他实质性要求的响应</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项目总体服务方案</w:t>
            </w:r>
          </w:p>
        </w:tc>
        <w:tc>
          <w:tcPr>
            <w:tcW w:type="dxa" w:w="2575"/>
          </w:tcPr>
          <w:p>
            <w:pPr>
              <w:pStyle w:val="null3"/>
              <w:jc w:val="left"/>
            </w:pPr>
            <w:r>
              <w:rPr>
                <w:rFonts w:ascii="仿宋_GB2312" w:hAnsi="仿宋_GB2312" w:cs="仿宋_GB2312" w:eastAsia="仿宋_GB2312"/>
              </w:rPr>
              <w:t>根据供应商针对本项目总体服务方案进行综合评分：总体服务方案包括：（1）项目定位和管理服务理念；（2）项目服务整体策划和工作重点；（3）项目管理机构运作方法；（4）项目服务承诺；（5）保障措施；（6）人员配置；（7）重大活动后勤保障。方案内容齐全，完整、条理结构清晰，层次细化完善、准确响应项目要求贴合项目实际情况的得7分，每漏一项扣1分，每有一处缺陷扣0.5分，小项扣完为止，未提供不得分。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7.0000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安保服务方案</w:t>
            </w:r>
          </w:p>
        </w:tc>
        <w:tc>
          <w:tcPr>
            <w:tcW w:type="dxa" w:w="2575"/>
          </w:tcPr>
          <w:p>
            <w:pPr>
              <w:pStyle w:val="null3"/>
              <w:jc w:val="left"/>
            </w:pPr>
            <w:r>
              <w:rPr>
                <w:rFonts w:ascii="仿宋_GB2312" w:hAnsi="仿宋_GB2312" w:cs="仿宋_GB2312" w:eastAsia="仿宋_GB2312"/>
              </w:rPr>
              <w:t>根据供应商提供的安保服务方案进行综合评分：安保服务方案包括：（1）岗位设置和工作职责；（2）服务标准和服务规程；（3）公共秩序维护方案；（4）安全管理；（5）消防管理方案；（6）培训和考核办法。方案内容齐全，完整、条理结构清晰，层次细化完善、准确响应项目要求贴合项目实际情况的得15分，每漏一项扣2.5分，每有一处缺陷扣1.25分，小项扣完为止，未提供不得分。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应急处理突发情况方案</w:t>
            </w:r>
          </w:p>
        </w:tc>
        <w:tc>
          <w:tcPr>
            <w:tcW w:type="dxa" w:w="2575"/>
          </w:tcPr>
          <w:p>
            <w:pPr>
              <w:pStyle w:val="null3"/>
              <w:jc w:val="left"/>
            </w:pPr>
            <w:r>
              <w:rPr>
                <w:rFonts w:ascii="仿宋_GB2312" w:hAnsi="仿宋_GB2312" w:cs="仿宋_GB2312" w:eastAsia="仿宋_GB2312"/>
              </w:rPr>
              <w:t>根据供应商提供的应急处理突发情况方案进行综合评分：应急处理突发情况方案包括:（1）防汛、地震等自然灾害应急处理方案；（2）电力、通讯、电梯、给排水设施设备突发事件应急方案；（3）突发治安案件应急措施；(4)群体上访、非法聚会应急处理方案；(5)消防事故应急处理方案。方案内容齐全，完整、条理结构清晰，层次细化完善、准确响应项目要求贴合项目实际情况的得5分，每漏一项扣1分，每有一处缺陷扣0.5分，小项扣完为止，未提供不得分。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设施设备维修服务方案</w:t>
            </w:r>
          </w:p>
        </w:tc>
        <w:tc>
          <w:tcPr>
            <w:tcW w:type="dxa" w:w="2575"/>
          </w:tcPr>
          <w:p>
            <w:pPr>
              <w:pStyle w:val="null3"/>
              <w:jc w:val="left"/>
            </w:pPr>
            <w:r>
              <w:rPr>
                <w:rFonts w:ascii="仿宋_GB2312" w:hAnsi="仿宋_GB2312" w:cs="仿宋_GB2312" w:eastAsia="仿宋_GB2312"/>
              </w:rPr>
              <w:t>根据供应商提供的设施设备维修服务方案进行综合评分：设施设备维修服务方案包括：（1）岗位设置和工作职责；（2）维修保养标准和服务规程；（3）日常维修和计划保养方案；（4）培训和考核办法。方案内容齐全，完整、条理结构清晰，层次细化完善、准确响应项目要求贴合项目实际情况的得4分，每漏一项扣1分，每有一处缺陷扣0.5分，小项扣完为止，未提供不得分。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会务服务方案</w:t>
            </w:r>
          </w:p>
        </w:tc>
        <w:tc>
          <w:tcPr>
            <w:tcW w:type="dxa" w:w="2575"/>
          </w:tcPr>
          <w:p>
            <w:pPr>
              <w:pStyle w:val="null3"/>
              <w:jc w:val="left"/>
            </w:pPr>
            <w:r>
              <w:rPr>
                <w:rFonts w:ascii="仿宋_GB2312" w:hAnsi="仿宋_GB2312" w:cs="仿宋_GB2312" w:eastAsia="仿宋_GB2312"/>
              </w:rPr>
              <w:t>根据供应商提供的会务服务方案进行综合评分：会务管理服务方案包括：（1）工作职责；（2）服务标准和服务规程；（3）日常会务服务方案；（4）大、中、小会议服务方案；（5）培训和考核办法。方案内容齐全，完整、条理结构清晰，层次细化完善、准确响应项目要求贴合项目实际情况的得5分，每漏一项扣1分，每有一处缺陷扣0.5分，小项扣完为止，未提供不得分。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后勤服务方案</w:t>
            </w:r>
          </w:p>
        </w:tc>
        <w:tc>
          <w:tcPr>
            <w:tcW w:type="dxa" w:w="2575"/>
          </w:tcPr>
          <w:p>
            <w:pPr>
              <w:pStyle w:val="null3"/>
              <w:jc w:val="left"/>
            </w:pPr>
            <w:r>
              <w:rPr>
                <w:rFonts w:ascii="仿宋_GB2312" w:hAnsi="仿宋_GB2312" w:cs="仿宋_GB2312" w:eastAsia="仿宋_GB2312"/>
              </w:rPr>
              <w:t>根据供应商提供的后勤服务方案进行综合评分：后勤服务方案包括：（1）岗位设置和工作职责；（2）服务标准和服务规程；（3）日常后勤保障及后勤服务提升；（4）园林维护服务；（5）培训和考核办法。方案内容齐全，完整、条理结构清晰，层次细化完善、准确响应项目要求贴合项目实际情况的得5分，每漏一项扣1分，每有一处缺陷扣0.5分，小项扣完为止，未提供不得分。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特殊场所专项服务方案</w:t>
            </w:r>
          </w:p>
        </w:tc>
        <w:tc>
          <w:tcPr>
            <w:tcW w:type="dxa" w:w="2575"/>
          </w:tcPr>
          <w:p>
            <w:pPr>
              <w:pStyle w:val="null3"/>
              <w:jc w:val="left"/>
            </w:pPr>
            <w:r>
              <w:rPr>
                <w:rFonts w:ascii="仿宋_GB2312" w:hAnsi="仿宋_GB2312" w:cs="仿宋_GB2312" w:eastAsia="仿宋_GB2312"/>
              </w:rPr>
              <w:t>根据供应商提供的特殊场所专项服务方案进行综合评分：特殊场所专项服务方案包括：（1）组织架构；（2）管理制度；（3）管理措施；（4）应急管理办法。方案内容齐全，完整、条理结构清晰，层次细化完善、准确响应项目要求贴合项目实际情况的得4分，每漏一项扣1分，每有一处缺陷扣0.5分，小项扣完为止，未提供不得分。 注：缺陷是指存在项目名称错误、地点区域错误、内容与本项目需求无关、方案内容矛盾或表述前后不一致、仅有框架或标题适用的标准(方法)错误、明显复制其他项目内容等任意一种情形。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人员配置</w:t>
            </w:r>
          </w:p>
        </w:tc>
        <w:tc>
          <w:tcPr>
            <w:tcW w:type="dxa" w:w="2575"/>
          </w:tcPr>
          <w:p>
            <w:pPr>
              <w:pStyle w:val="null3"/>
              <w:jc w:val="left"/>
            </w:pPr>
            <w:r>
              <w:rPr>
                <w:rFonts w:ascii="仿宋_GB2312" w:hAnsi="仿宋_GB2312" w:cs="仿宋_GB2312" w:eastAsia="仿宋_GB2312"/>
              </w:rPr>
              <w:t>1.拟派项目经理（5分）：2021年1月1日至响应截止日期，担任过物业或安保项目管理人员业绩得5分。（提供合同复印件或业主盖章的证明材料佐证） 2.安保人员（24分）：①拟派安保人员中每有一人具有退伍军人证的得3分，本项最多得24分；（注：响应时需提供本人退伍军人证证书复印件。） 3.会务人员（6分）拟派的会务人员每有一人具有二级甲等及以上普通话证书得3分，本项最多得6分。 注：1.响应时提供相关证明材料/证书证件复印件并加盖公司公章。</w:t>
            </w:r>
          </w:p>
        </w:tc>
        <w:tc>
          <w:tcPr>
            <w:tcW w:type="dxa" w:w="831"/>
          </w:tcPr>
          <w:p>
            <w:pPr>
              <w:pStyle w:val="null3"/>
              <w:jc w:val="center"/>
            </w:pPr>
            <w:r>
              <w:rPr>
                <w:rFonts w:ascii="仿宋_GB2312" w:hAnsi="仿宋_GB2312" w:cs="仿宋_GB2312" w:eastAsia="仿宋_GB2312"/>
              </w:rPr>
              <w:t>35.0000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2021年1月1日到响应截止日期，供应商每具有1个本项目类似项目业绩（安保业绩）得5分，本项最多得10分。 注：上述所有业绩须提供中标通知书或合同扫描件并加盖公司公章，同一业绩不重复得分。</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服务应答表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575"/>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分值。评审价格=响应报价。经价格调整后的评审价格=响应报价×（1-价格调整比例）基准价=经价格调整后评审价格的最低值。</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 xml:space="preserve"> 本项目授权磋商小组在磋商报告确定的成交候选供应商名单中按顺序直接确定1名成交供应商。采购人或者代理机构应当自成交供应商确定之日起 2个工作日内，在四川政府采购网公告成交结果，磋商文件应当随成交结果同时公告。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