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版本号：N512001202500004220250314001</w:t>
      </w:r>
    </w:p>
    <w:p>
      <w:pPr>
        <w:pStyle w:val="null3"/>
        <w:jc w:val="left"/>
        <w:outlineLvl w:val="0"/>
      </w:pPr>
      <w:r>
        <w:rPr>
          <w:rFonts w:ascii="仿宋_GB2312" w:hAnsi="仿宋_GB2312" w:cs="仿宋_GB2312" w:eastAsia="仿宋_GB2312"/>
          <w:sz w:val="48"/>
          <w:b/>
        </w:rPr>
        <w:t>询 价 通 知 书</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公务用车采购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N5120012025000042</w:t>
      </w:r>
    </w:p>
    <w:p>
      <w:pPr>
        <w:pStyle w:val="null3"/>
        <w:jc w:val="left"/>
        <w:outlineLvl w:val="2"/>
      </w:pPr>
      <w:r>
        <w:rPr>
          <w:rFonts w:ascii="仿宋_GB2312" w:hAnsi="仿宋_GB2312" w:cs="仿宋_GB2312" w:eastAsia="仿宋_GB2312"/>
          <w:sz w:val="28"/>
          <w:b/>
        </w:rPr>
        <w:t>资阳市雁江区人民法院</w:t>
      </w:r>
    </w:p>
    <w:p>
      <w:pPr>
        <w:pStyle w:val="null3"/>
        <w:jc w:val="center"/>
        <w:outlineLvl w:val="2"/>
      </w:pPr>
      <w:r>
        <w:rPr>
          <w:rFonts w:ascii="仿宋_GB2312" w:hAnsi="仿宋_GB2312" w:cs="仿宋_GB2312" w:eastAsia="仿宋_GB2312"/>
          <w:sz w:val="28"/>
          <w:b/>
        </w:rPr>
        <w:t>资阳市政府采购中心</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询价邀请</w:t>
      </w:r>
    </w:p>
    <w:p>
      <w:pPr>
        <w:pStyle w:val="null3"/>
        <w:ind w:firstLine="480"/>
        <w:jc w:val="left"/>
      </w:pPr>
      <w:r>
        <w:rPr>
          <w:rFonts w:ascii="仿宋_GB2312" w:hAnsi="仿宋_GB2312" w:cs="仿宋_GB2312" w:eastAsia="仿宋_GB2312"/>
        </w:rPr>
        <w:t>资阳市政府采购中心</w:t>
      </w:r>
      <w:r>
        <w:rPr>
          <w:rFonts w:ascii="仿宋_GB2312" w:hAnsi="仿宋_GB2312" w:cs="仿宋_GB2312" w:eastAsia="仿宋_GB2312"/>
        </w:rPr>
        <w:t xml:space="preserve"> （以下简称“代理机构”）受 </w:t>
      </w:r>
      <w:r>
        <w:rPr>
          <w:rFonts w:ascii="仿宋_GB2312" w:hAnsi="仿宋_GB2312" w:cs="仿宋_GB2312" w:eastAsia="仿宋_GB2312"/>
        </w:rPr>
        <w:t>资阳市雁江区人民法院</w:t>
      </w:r>
      <w:r>
        <w:rPr>
          <w:rFonts w:ascii="仿宋_GB2312" w:hAnsi="仿宋_GB2312" w:cs="仿宋_GB2312" w:eastAsia="仿宋_GB2312"/>
        </w:rPr>
        <w:t xml:space="preserve"> 委托，拟对 </w:t>
      </w:r>
      <w:r>
        <w:rPr>
          <w:rFonts w:ascii="仿宋_GB2312" w:hAnsi="仿宋_GB2312" w:cs="仿宋_GB2312" w:eastAsia="仿宋_GB2312"/>
        </w:rPr>
        <w:t>公务用车采购</w:t>
      </w:r>
      <w:r>
        <w:rPr>
          <w:rFonts w:ascii="仿宋_GB2312" w:hAnsi="仿宋_GB2312" w:cs="仿宋_GB2312" w:eastAsia="仿宋_GB2312"/>
        </w:rPr>
        <w:t xml:space="preserve"> 采用询价方式进行采购，兹邀请符合资格条件的供应商参加询价。本项目为四川省</w:t>
      </w:r>
      <w:r>
        <w:rPr>
          <w:rFonts w:ascii="仿宋_GB2312" w:hAnsi="仿宋_GB2312" w:cs="仿宋_GB2312" w:eastAsia="仿宋_GB2312"/>
        </w:rPr>
        <w:t>资阳市市本级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N5120012025000042</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公务用车采购</w:t>
      </w:r>
    </w:p>
    <w:p>
      <w:pPr>
        <w:pStyle w:val="null3"/>
        <w:jc w:val="left"/>
        <w:outlineLvl w:val="2"/>
      </w:pPr>
      <w:r>
        <w:rPr>
          <w:rFonts w:ascii="仿宋_GB2312" w:hAnsi="仿宋_GB2312" w:cs="仿宋_GB2312" w:eastAsia="仿宋_GB2312"/>
          <w:sz w:val="28"/>
          <w:b/>
        </w:rPr>
        <w:t>1.3.采购项目简介</w:t>
      </w:r>
    </w:p>
    <w:p>
      <w:pPr>
        <w:pStyle w:val="null3"/>
        <w:ind w:firstLine="480"/>
        <w:jc w:val="left"/>
      </w:pPr>
      <w:r>
        <w:rPr>
          <w:rFonts w:ascii="仿宋_GB2312" w:hAnsi="仿宋_GB2312" w:cs="仿宋_GB2312" w:eastAsia="仿宋_GB2312"/>
        </w:rPr>
        <w:t>资阳市雁江区人民法院需采购一般执法执勤用车两辆（轿车）。</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本项目以发布公告的方式邀请供应商参加询价。公告在四川政府采购网（www.ccgp-sichuan.gov.cn）发布。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询价通知书，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1.7.询价通知书获取时间、方式及地址</w:t>
      </w:r>
    </w:p>
    <w:p>
      <w:pPr>
        <w:pStyle w:val="null3"/>
        <w:ind w:firstLine="480"/>
        <w:jc w:val="left"/>
      </w:pPr>
      <w:r>
        <w:rPr>
          <w:rFonts w:ascii="仿宋_GB2312" w:hAnsi="仿宋_GB2312" w:cs="仿宋_GB2312" w:eastAsia="仿宋_GB2312"/>
        </w:rPr>
        <w:t xml:space="preserve">一、询价通知书获取时间：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询价通知书获取时间开始前，将本项目电子询价通知书上传至交易系统，向供应商免费提供，供应商通过交易系统获取询价通知书。供应商成功获取询价通知书后，将收到已获取询价通知书的回执单。未按规定获取询价通知书的供应商，不得参与本次采购活动，不得对询价通知书提起质疑。</w:t>
      </w:r>
    </w:p>
    <w:p>
      <w:pPr>
        <w:pStyle w:val="null3"/>
        <w:ind w:firstLine="480"/>
        <w:jc w:val="left"/>
      </w:pPr>
      <w:r>
        <w:rPr>
          <w:rFonts w:ascii="仿宋_GB2312" w:hAnsi="仿宋_GB2312" w:cs="仿宋_GB2312" w:eastAsia="仿宋_GB2312"/>
        </w:rPr>
        <w:t>注：获取的询价通知书由正文和附件组成，正文部分包括pdf、word两种格式版本，如内容有不一致的，以pdf格式内容为准。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一、响应文件提交截止时间及开启时间：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资阳市雁江区人民法院</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资阳市雁江区新城路202号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641300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13568551483</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资阳市政府采购中心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四川省资阳市市本级幸福大道10号（资阳市民服务中心4楼404室）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641300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苏老师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028-26630937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采购包1：320,000.00元</w:t>
            </w:r>
          </w:p>
          <w:p>
            <w:pPr>
              <w:pStyle w:val="null3"/>
              <w:jc w:val="left"/>
            </w:pPr>
            <w:r>
              <w:rPr>
                <w:rFonts w:ascii="仿宋_GB2312" w:hAnsi="仿宋_GB2312" w:cs="仿宋_GB2312" w:eastAsia="仿宋_GB2312"/>
              </w:rPr>
              <w:t xml:space="preserve"> 供应商报价不得超过询价通知书中规定的预算金额，采购人可以在采购预算内合理设定最高限价，供应商报价不得超过最高限价，最高限价详见第三章。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最低评标价法（具体规则详见第四章）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 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本项目不收取代理服务费</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本询价通知书中“★”要求为实质性要求。供应商应当按照第四章评审程序中的符合性审查规定，在响应文件中进行实质性响应，否则作无效响应处理。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本询价通知书所称的“以上”、“以下”、“内”、“以内”、“不少于”包括本数；所称的“不足”、“低于”、“超过”不包括本数。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一、本询价通知书仅适用于本次询价采购项目。</w:t>
      </w:r>
    </w:p>
    <w:p>
      <w:pPr>
        <w:pStyle w:val="null3"/>
        <w:ind w:firstLine="480"/>
        <w:jc w:val="left"/>
      </w:pPr>
      <w:r>
        <w:rPr>
          <w:rFonts w:ascii="仿宋_GB2312" w:hAnsi="仿宋_GB2312" w:cs="仿宋_GB2312" w:eastAsia="仿宋_GB2312"/>
        </w:rPr>
        <w:t xml:space="preserve">二、本询价通知书由 </w:t>
      </w:r>
      <w:r>
        <w:rPr>
          <w:rFonts w:ascii="仿宋_GB2312" w:hAnsi="仿宋_GB2312" w:cs="仿宋_GB2312" w:eastAsia="仿宋_GB2312"/>
        </w:rPr>
        <w:t>资阳市雁江区人民法院</w:t>
      </w:r>
      <w:r>
        <w:rPr>
          <w:rFonts w:ascii="仿宋_GB2312" w:hAnsi="仿宋_GB2312" w:cs="仿宋_GB2312" w:eastAsia="仿宋_GB2312"/>
        </w:rPr>
        <w:t xml:space="preserve"> 和 </w:t>
      </w:r>
      <w:r>
        <w:rPr>
          <w:rFonts w:ascii="仿宋_GB2312" w:hAnsi="仿宋_GB2312" w:cs="仿宋_GB2312" w:eastAsia="仿宋_GB2312"/>
        </w:rPr>
        <w:t>资阳市政府采购中心</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 “采购人”是指依法进行政府采购的国家机关、事业单位、团体组织。本次询价采购项目的采购人是 </w:t>
      </w:r>
      <w:r>
        <w:rPr>
          <w:rFonts w:ascii="仿宋_GB2312" w:hAnsi="仿宋_GB2312" w:cs="仿宋_GB2312" w:eastAsia="仿宋_GB2312"/>
        </w:rPr>
        <w:t>资阳市雁江区人民法院</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规定获取询价通知书，参加采购活动的法人、其他组织或者自然人。</w:t>
      </w:r>
    </w:p>
    <w:p>
      <w:pPr>
        <w:pStyle w:val="null3"/>
        <w:ind w:firstLine="480"/>
        <w:jc w:val="left"/>
      </w:pPr>
      <w:r>
        <w:rPr>
          <w:rFonts w:ascii="仿宋_GB2312" w:hAnsi="仿宋_GB2312" w:cs="仿宋_GB2312" w:eastAsia="仿宋_GB2312"/>
        </w:rPr>
        <w:t xml:space="preserve">三、 “代理机构”是指集中采购机构和从事采购代理业务的社会中介机构。本项目的代理机构是 </w:t>
      </w:r>
      <w:r>
        <w:rPr>
          <w:rFonts w:ascii="仿宋_GB2312" w:hAnsi="仿宋_GB2312" w:cs="仿宋_GB2312" w:eastAsia="仿宋_GB2312"/>
        </w:rPr>
        <w:t>资阳市政府采购中心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五、“电子评审”是指询价小组开展资格审查、符合性审查、一次性报价、推荐成交候选供应商、出具询价报告等活动。</w:t>
      </w:r>
    </w:p>
    <w:p>
      <w:pPr>
        <w:pStyle w:val="null3"/>
        <w:jc w:val="left"/>
        <w:outlineLvl w:val="2"/>
      </w:pPr>
      <w:r>
        <w:rPr>
          <w:rFonts w:ascii="仿宋_GB2312" w:hAnsi="仿宋_GB2312" w:cs="仿宋_GB2312" w:eastAsia="仿宋_GB2312"/>
          <w:sz w:val="28"/>
          <w:b/>
        </w:rPr>
        <w:t>2.3.询价通知书</w:t>
      </w:r>
    </w:p>
    <w:p>
      <w:pPr>
        <w:pStyle w:val="null3"/>
        <w:jc w:val="left"/>
        <w:outlineLvl w:val="3"/>
      </w:pPr>
      <w:r>
        <w:rPr>
          <w:rFonts w:ascii="仿宋_GB2312" w:hAnsi="仿宋_GB2312" w:cs="仿宋_GB2312" w:eastAsia="仿宋_GB2312"/>
          <w:sz w:val="24"/>
          <w:b/>
        </w:rPr>
        <w:t>2.3.1.询价通知书的构成</w:t>
      </w:r>
    </w:p>
    <w:p>
      <w:pPr>
        <w:pStyle w:val="null3"/>
        <w:ind w:firstLine="480"/>
        <w:jc w:val="left"/>
      </w:pPr>
      <w:r>
        <w:rPr>
          <w:rFonts w:ascii="仿宋_GB2312" w:hAnsi="仿宋_GB2312" w:cs="仿宋_GB2312" w:eastAsia="仿宋_GB2312"/>
        </w:rPr>
        <w:t>询价通知书由采购人、代理机构编制，是项目采购活动开展的基本依据，主要包括以下内容：</w:t>
      </w:r>
    </w:p>
    <w:p>
      <w:pPr>
        <w:pStyle w:val="null3"/>
        <w:ind w:firstLine="480"/>
        <w:jc w:val="left"/>
      </w:pPr>
      <w:r>
        <w:rPr>
          <w:rFonts w:ascii="仿宋_GB2312" w:hAnsi="仿宋_GB2312" w:cs="仿宋_GB2312" w:eastAsia="仿宋_GB2312"/>
        </w:rPr>
        <w:t>一、询价邀请；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四、评审办法；</w:t>
      </w:r>
    </w:p>
    <w:p>
      <w:pPr>
        <w:pStyle w:val="null3"/>
        <w:ind w:firstLine="480"/>
        <w:jc w:val="left"/>
      </w:pPr>
      <w:r>
        <w:rPr>
          <w:rFonts w:ascii="仿宋_GB2312" w:hAnsi="仿宋_GB2312" w:cs="仿宋_GB2312" w:eastAsia="仿宋_GB2312"/>
        </w:rPr>
        <w:t>五、响应文件格式；</w:t>
      </w:r>
    </w:p>
    <w:p>
      <w:pPr>
        <w:pStyle w:val="null3"/>
        <w:ind w:firstLine="480"/>
        <w:jc w:val="left"/>
      </w:pPr>
      <w:r>
        <w:rPr>
          <w:rFonts w:ascii="仿宋_GB2312" w:hAnsi="仿宋_GB2312" w:cs="仿宋_GB2312" w:eastAsia="仿宋_GB2312"/>
        </w:rPr>
        <w:t>六、拟签订采购合同文本。</w:t>
      </w:r>
    </w:p>
    <w:p>
      <w:pPr>
        <w:pStyle w:val="null3"/>
        <w:jc w:val="left"/>
        <w:outlineLvl w:val="3"/>
      </w:pPr>
      <w:r>
        <w:rPr>
          <w:rFonts w:ascii="仿宋_GB2312" w:hAnsi="仿宋_GB2312" w:cs="仿宋_GB2312" w:eastAsia="仿宋_GB2312"/>
          <w:sz w:val="24"/>
          <w:b/>
        </w:rPr>
        <w:t>2.3.2.询价通知书的澄清和修改</w:t>
      </w:r>
    </w:p>
    <w:p>
      <w:pPr>
        <w:pStyle w:val="null3"/>
        <w:ind w:firstLine="480"/>
        <w:jc w:val="left"/>
      </w:pPr>
      <w:r>
        <w:rPr>
          <w:rFonts w:ascii="仿宋_GB2312" w:hAnsi="仿宋_GB2312" w:cs="仿宋_GB2312" w:eastAsia="仿宋_GB2312"/>
        </w:rPr>
        <w:t>一、提交响应文件截止之日前，采购人或者代理机构可以对已发出的询价通知书进行必要的澄清或者修改。</w:t>
      </w:r>
    </w:p>
    <w:p>
      <w:pPr>
        <w:pStyle w:val="null3"/>
        <w:ind w:firstLine="480"/>
        <w:jc w:val="left"/>
      </w:pPr>
      <w:r>
        <w:rPr>
          <w:rFonts w:ascii="仿宋_GB2312" w:hAnsi="仿宋_GB2312" w:cs="仿宋_GB2312" w:eastAsia="仿宋_GB2312"/>
        </w:rPr>
        <w:t>二、澄清或者修改的内容为询价通知书的组成部分，采购人或者代理机构将在四川政府采购网发布更正公告，并将更正后的询价通知书上传至交易系统。更正内容可能影响响应文件编制的，采购人或者代理机构应当在响应截止之日3个工作日前，通过交易系统向已获取询价通知书的供应商发送更正信息，不足3个工作日的，应当顺延提交响应文件截止之日。</w:t>
      </w:r>
    </w:p>
    <w:p>
      <w:pPr>
        <w:pStyle w:val="null3"/>
        <w:jc w:val="left"/>
      </w:pPr>
      <w:r>
        <w:rPr>
          <w:rFonts w:ascii="仿宋_GB2312" w:hAnsi="仿宋_GB2312" w:cs="仿宋_GB2312" w:eastAsia="仿宋_GB2312"/>
        </w:rPr>
        <w:t>三、供应商根据更正公告、更正信息要求下载更正后的询价文件通知书，进行响应文件编制。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询价小组在询价过程中的所有来往书面文件原则上使用中文。响应文件中如附有外文资料，要对应翻译成中文并附在相关外文资料后面，未翻译的外文资料，询价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除询价通知书中另有规定外，本项目均采用国家法定的计量单位。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按照询价通知书第四章评审办法规定进行价格修正的，修正后的报价经供应商加盖电子印章确认后产生约束力。未在规定时间内确认的，视同供应商不确认，作无效响应处理。</w:t>
      </w:r>
    </w:p>
    <w:p>
      <w:pPr>
        <w:pStyle w:val="null3"/>
        <w:ind w:firstLine="480"/>
        <w:jc w:val="left"/>
      </w:pPr>
      <w:r>
        <w:rPr>
          <w:rFonts w:ascii="仿宋_GB2312" w:hAnsi="仿宋_GB2312" w:cs="仿宋_GB2312" w:eastAsia="仿宋_GB2312"/>
        </w:rPr>
        <w:t>供应商报价低于采购预算50% 或者低于其他有效供应商报价算术平均价40%，有可能影响产品质量或者不能诚信履约的，询价小组应当要求其在合理的时间内通过交易系统进行书面说明、提交相关证明材料，并加盖电子印章。供应商拒绝或者变相拒绝提供有效书面说明或者书面说明不能证明其报价合理性的，询价小组应当将其响应文件作为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一、供应商应当按照询价通知书规定编制响应文件，询价通知书第五章对响应文件格式有要求的，按照格式要求编制响应文件，没有格式要求的，由供应商自行编写。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询价通知书要求的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未按询价通知书和采购平台操作规范编制、确认、加密、盖章和提交的响应文件，将被拒绝接收。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pPr>
      <w:r>
        <w:rPr>
          <w:rFonts w:ascii="仿宋_GB2312" w:hAnsi="仿宋_GB2312" w:cs="仿宋_GB2312" w:eastAsia="仿宋_GB2312"/>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pPr>
      <w:r>
        <w:rPr>
          <w:rFonts w:ascii="仿宋_GB2312" w:hAnsi="仿宋_GB2312" w:cs="仿宋_GB2312" w:eastAsia="仿宋_GB2312"/>
          <w:b/>
        </w:rPr>
        <w:t>2.5.1.2.解密响应文件★</w:t>
      </w:r>
    </w:p>
    <w:p>
      <w:pPr>
        <w:pStyle w:val="null3"/>
        <w:ind w:firstLine="480"/>
        <w:jc w:val="left"/>
      </w:pPr>
      <w:r>
        <w:rPr>
          <w:rFonts w:ascii="仿宋_GB2312" w:hAnsi="仿宋_GB2312" w:cs="仿宋_GB2312" w:eastAsia="仿宋_GB2312"/>
        </w:rPr>
        <w:t>提交响应文件截止时间后，成功提交响应文件的供应商符合询价通知书规定数量的，代理机构将启动响应文件解密程序，解密时间为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pPr>
      <w:r>
        <w:rPr>
          <w:rFonts w:ascii="仿宋_GB2312" w:hAnsi="仿宋_GB2312" w:cs="仿宋_GB2312" w:eastAsia="仿宋_GB2312"/>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详见询价通知书第四章。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一、采购人或者询价小组确认成交供应商后，代理机构在四川政府采购网发布成交结果公告、通过交易系统发出成交通知书，成交供应商通过交易系统获取成交通知书。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二、采购人和成交供应商签订的书面合同不得对询价通知书确定的事项以及成交供应商的响应文件作实质性修改，采购人不得向成交供应商提出任何不合理的要求作为签订合同的条件。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4"/>
      </w:pPr>
      <w:r>
        <w:rPr>
          <w:rFonts w:ascii="仿宋_GB2312" w:hAnsi="仿宋_GB2312" w:cs="仿宋_GB2312" w:eastAsia="仿宋_GB2312"/>
          <w:sz w:val="20"/>
          <w:b/>
        </w:rPr>
        <w:t>2.6.3.1.合同分包</w:t>
      </w:r>
    </w:p>
    <w:p>
      <w:pPr>
        <w:pStyle w:val="null3"/>
        <w:jc w:val="left"/>
      </w:pPr>
      <w:r>
        <w:rPr>
          <w:rFonts w:ascii="仿宋_GB2312" w:hAnsi="仿宋_GB2312" w:cs="仿宋_GB2312" w:eastAsia="仿宋_GB2312"/>
        </w:rPr>
        <w:t>本项目不允许合同分包。</w:t>
      </w:r>
    </w:p>
    <w:p>
      <w:pPr>
        <w:pStyle w:val="null3"/>
        <w:jc w:val="left"/>
        <w:outlineLvl w:val="4"/>
      </w:pPr>
      <w:r>
        <w:rPr>
          <w:rFonts w:ascii="仿宋_GB2312" w:hAnsi="仿宋_GB2312" w:cs="仿宋_GB2312" w:eastAsia="仿宋_GB2312"/>
          <w:sz w:val="20"/>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供应商提供货物提出验收申请</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国家相关规定和行业标准，现场验收.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注：根据资财采〔2019〕39号 关于严格落实政府采购需求论证、合同备案和履约验收有关问题的通知要求，若本项目为中标金额800万元以上的或者复杂的采购项目、政府向社会公众提供的公共服务项目、采购人和实际使用人或者受益者分离、有质疑投诉举报的采购项目，采购单位应当组织引入第三方专业检测机构和邀请集采机构参与履约验收工作。）</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供应商参加询价不得有下列情形：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六、向采购人或者代理机构、询价小组成员行贿或者提供其他不正当利益；</w:t>
      </w:r>
    </w:p>
    <w:p>
      <w:pPr>
        <w:pStyle w:val="null3"/>
        <w:ind w:firstLine="480"/>
        <w:jc w:val="left"/>
      </w:pPr>
      <w:r>
        <w:rPr>
          <w:rFonts w:ascii="仿宋_GB2312" w:hAnsi="仿宋_GB2312" w:cs="仿宋_GB2312" w:eastAsia="仿宋_GB2312"/>
        </w:rPr>
        <w:t>七、在询价过程中与采购人或者代理机构进行协商谈判；</w:t>
      </w:r>
    </w:p>
    <w:p>
      <w:pPr>
        <w:pStyle w:val="null3"/>
        <w:ind w:firstLine="480"/>
        <w:jc w:val="left"/>
      </w:pPr>
      <w:r>
        <w:rPr>
          <w:rFonts w:ascii="仿宋_GB2312" w:hAnsi="仿宋_GB2312" w:cs="仿宋_GB2312" w:eastAsia="仿宋_GB2312"/>
        </w:rPr>
        <w:t>八、成交后无正当理由拒不与采购人签订政府采购合同；</w:t>
      </w:r>
    </w:p>
    <w:p>
      <w:pPr>
        <w:pStyle w:val="null3"/>
        <w:ind w:firstLine="480"/>
        <w:jc w:val="left"/>
      </w:pPr>
      <w:r>
        <w:rPr>
          <w:rFonts w:ascii="仿宋_GB2312" w:hAnsi="仿宋_GB2312" w:cs="仿宋_GB2312" w:eastAsia="仿宋_GB2312"/>
        </w:rPr>
        <w:t>九、未按照询价通知书确定的事项签订政府采购合同；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供应商有前述一至七条情形之一的，作无效响应处理。成交供应商有前述一至七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根据委托代理协议约定，供应商对询价通知书中采购需求的询问、质疑由 </w:t>
      </w:r>
      <w:r>
        <w:rPr>
          <w:rFonts w:ascii="仿宋_GB2312" w:hAnsi="仿宋_GB2312" w:cs="仿宋_GB2312" w:eastAsia="仿宋_GB2312"/>
        </w:rPr>
        <w:t>资阳市雁江区人民法院</w:t>
      </w:r>
      <w:r>
        <w:rPr>
          <w:rFonts w:ascii="仿宋_GB2312" w:hAnsi="仿宋_GB2312" w:cs="仿宋_GB2312" w:eastAsia="仿宋_GB2312"/>
        </w:rPr>
        <w:t xml:space="preserve"> 负责答复；供应商对除采购需求外的询价通知书的询问、质疑由 </w:t>
      </w:r>
      <w:r>
        <w:rPr>
          <w:rFonts w:ascii="仿宋_GB2312" w:hAnsi="仿宋_GB2312" w:cs="仿宋_GB2312" w:eastAsia="仿宋_GB2312"/>
        </w:rPr>
        <w:t>资阳市政府采购中心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资阳市政府采购中心</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联系人：陈先生</w:t>
      </w:r>
    </w:p>
    <w:p>
      <w:pPr>
        <w:pStyle w:val="null3"/>
        <w:jc w:val="left"/>
      </w:pPr>
      <w:r>
        <w:rPr>
          <w:rFonts w:ascii="仿宋_GB2312" w:hAnsi="仿宋_GB2312" w:cs="仿宋_GB2312" w:eastAsia="仿宋_GB2312"/>
        </w:rPr>
        <w:t>联系电话：13568551483</w:t>
      </w:r>
    </w:p>
    <w:p>
      <w:pPr>
        <w:pStyle w:val="null3"/>
        <w:jc w:val="left"/>
      </w:pPr>
      <w:r>
        <w:rPr>
          <w:rFonts w:ascii="仿宋_GB2312" w:hAnsi="仿宋_GB2312" w:cs="仿宋_GB2312" w:eastAsia="仿宋_GB2312"/>
        </w:rPr>
        <w:t>地址：资阳市雁江区新城路202号</w:t>
      </w:r>
    </w:p>
    <w:p>
      <w:pPr>
        <w:pStyle w:val="null3"/>
        <w:jc w:val="left"/>
      </w:pPr>
      <w:r>
        <w:rPr>
          <w:rFonts w:ascii="仿宋_GB2312" w:hAnsi="仿宋_GB2312" w:cs="仿宋_GB2312" w:eastAsia="仿宋_GB2312"/>
        </w:rPr>
        <w:t>邮编：641300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联系人：苏老师</w:t>
      </w:r>
    </w:p>
    <w:p>
      <w:pPr>
        <w:pStyle w:val="null3"/>
        <w:jc w:val="left"/>
      </w:pPr>
      <w:r>
        <w:rPr>
          <w:rFonts w:ascii="仿宋_GB2312" w:hAnsi="仿宋_GB2312" w:cs="仿宋_GB2312" w:eastAsia="仿宋_GB2312"/>
        </w:rPr>
        <w:t>联系电话：028-26630937</w:t>
      </w:r>
    </w:p>
    <w:p>
      <w:pPr>
        <w:pStyle w:val="null3"/>
        <w:jc w:val="left"/>
      </w:pPr>
      <w:r>
        <w:rPr>
          <w:rFonts w:ascii="仿宋_GB2312" w:hAnsi="仿宋_GB2312" w:cs="仿宋_GB2312" w:eastAsia="仿宋_GB2312"/>
        </w:rPr>
        <w:t>地址：四川省资阳市市本级幸福大道10号（资阳市民服务中心4楼404室）</w:t>
      </w:r>
    </w:p>
    <w:p>
      <w:pPr>
        <w:pStyle w:val="null3"/>
        <w:jc w:val="left"/>
      </w:pPr>
      <w:r>
        <w:rPr>
          <w:rFonts w:ascii="仿宋_GB2312" w:hAnsi="仿宋_GB2312" w:cs="仿宋_GB2312" w:eastAsia="仿宋_GB2312"/>
        </w:rPr>
        <w:t>邮编：641300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询价通知书、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（一）对可以质疑的询价通知书提出质疑的，为收到询价通知书之日或者询价通知书公告期限届满之日；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（五）针对质疑事项必要的证明材料（针对询价通知书提出的质疑，需提交从交易系统获取的询价通知书回执单）。</w:t>
      </w:r>
    </w:p>
    <w:p>
      <w:pPr>
        <w:pStyle w:val="null3"/>
        <w:ind w:firstLine="480"/>
        <w:jc w:val="left"/>
      </w:pPr>
      <w:r>
        <w:rPr>
          <w:rFonts w:ascii="仿宋_GB2312" w:hAnsi="仿宋_GB2312" w:cs="仿宋_GB2312" w:eastAsia="仿宋_GB2312"/>
        </w:rPr>
        <w:t>注：根据《中华人民共和国政府采购法》的规定，供应商质疑不得超出询价通知书、采购过程、采购结果的范围。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采购人或者代理机构应当在询价通知书中明确线下样品评审规则和方式，不得对供应商实行差别待遇或者歧视性待遇。样品评审应当全过程录音录像，形成书面评审记录上传至交易系统。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（注:本章的技术、服务及其他要求中，带“★”的要求为实质性要求。采购人、代理机构应当根据项目实际要求合理设定，并在第四章符合性审查中明确响应要求。）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320,000.00</w:t>
      </w:r>
    </w:p>
    <w:p>
      <w:pPr>
        <w:pStyle w:val="null3"/>
        <w:jc w:val="left"/>
      </w:pPr>
      <w:r>
        <w:rPr>
          <w:rFonts w:ascii="仿宋_GB2312" w:hAnsi="仿宋_GB2312" w:cs="仿宋_GB2312" w:eastAsia="仿宋_GB2312"/>
        </w:rPr>
        <w:t>采购包最高限价（元）: 320,000.00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A02030501 轿车</w:t>
            </w:r>
          </w:p>
        </w:tc>
        <w:tc>
          <w:tcPr>
            <w:tcW w:type="dxa" w:w="821"/>
          </w:tcPr>
          <w:p>
            <w:pPr>
              <w:pStyle w:val="null3"/>
              <w:jc w:val="left"/>
            </w:pPr>
            <w:r>
              <w:rPr>
                <w:rFonts w:ascii="仿宋_GB2312" w:hAnsi="仿宋_GB2312" w:cs="仿宋_GB2312" w:eastAsia="仿宋_GB2312"/>
              </w:rPr>
              <w:t>一般执法执勤用车</w:t>
            </w:r>
          </w:p>
        </w:tc>
        <w:tc>
          <w:tcPr>
            <w:tcW w:type="dxa" w:w="821"/>
          </w:tcPr>
          <w:p>
            <w:pPr>
              <w:pStyle w:val="null3"/>
              <w:jc w:val="right"/>
            </w:pPr>
            <w:r>
              <w:rPr>
                <w:rFonts w:ascii="仿宋_GB2312" w:hAnsi="仿宋_GB2312" w:cs="仿宋_GB2312" w:eastAsia="仿宋_GB2312"/>
              </w:rPr>
              <w:t>2.00（辆）</w:t>
            </w:r>
          </w:p>
        </w:tc>
        <w:tc>
          <w:tcPr>
            <w:tcW w:type="dxa" w:w="821"/>
          </w:tcPr>
          <w:p>
            <w:pPr>
              <w:pStyle w:val="null3"/>
              <w:jc w:val="right"/>
            </w:pPr>
            <w:r>
              <w:rPr>
                <w:rFonts w:ascii="仿宋_GB2312" w:hAnsi="仿宋_GB2312" w:cs="仿宋_GB2312" w:eastAsia="仿宋_GB2312"/>
              </w:rPr>
              <w:t>320,000.00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一般执法执勤用车</w:t>
            </w:r>
          </w:p>
        </w:tc>
        <w:tc>
          <w:tcPr>
            <w:tcW w:type="dxa" w:w="1138"/>
          </w:tcPr>
          <w:p>
            <w:pPr>
              <w:pStyle w:val="null3"/>
              <w:jc w:val="center"/>
            </w:pPr>
            <w:r>
              <w:rPr>
                <w:rFonts w:ascii="仿宋_GB2312" w:hAnsi="仿宋_GB2312" w:cs="仿宋_GB2312" w:eastAsia="仿宋_GB2312"/>
              </w:rPr>
              <w:t>2.00（辆）</w:t>
            </w:r>
          </w:p>
        </w:tc>
        <w:tc>
          <w:tcPr>
            <w:tcW w:type="dxa" w:w="1365"/>
          </w:tcPr>
          <w:p>
            <w:pPr>
              <w:pStyle w:val="null3"/>
              <w:jc w:val="center"/>
            </w:pPr>
            <w:r>
              <w:rPr>
                <w:rFonts w:ascii="仿宋_GB2312" w:hAnsi="仿宋_GB2312" w:cs="仿宋_GB2312" w:eastAsia="仿宋_GB2312"/>
              </w:rPr>
              <w:t>320,000.00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A02030501 轿车</w:t>
            </w:r>
          </w:p>
        </w:tc>
        <w:tc>
          <w:tcPr>
            <w:tcW w:type="dxa" w:w="2492"/>
          </w:tcPr>
          <w:p>
            <w:pPr>
              <w:pStyle w:val="null3"/>
              <w:jc w:val="left"/>
            </w:pPr>
            <w:r>
              <w:rPr>
                <w:rFonts w:ascii="仿宋_GB2312" w:hAnsi="仿宋_GB2312" w:cs="仿宋_GB2312" w:eastAsia="仿宋_GB2312"/>
              </w:rPr>
              <w:t>一般执法执勤用车</w:t>
            </w:r>
          </w:p>
        </w:tc>
        <w:tc>
          <w:tcPr>
            <w:tcW w:type="dxa" w:w="2492"/>
          </w:tcPr>
          <w:p>
            <w:pPr>
              <w:pStyle w:val="null3"/>
              <w:jc w:val="left"/>
            </w:pPr>
            <w:r>
              <w:rPr>
                <w:rFonts w:ascii="仿宋_GB2312" w:hAnsi="仿宋_GB2312" w:cs="仿宋_GB2312" w:eastAsia="仿宋_GB2312"/>
              </w:rPr>
              <w:t>一般执法执勤用车</w:t>
            </w:r>
          </w:p>
        </w:tc>
      </w:tr>
    </w:tbl>
    <w:p>
      <w:pPr>
        <w:pStyle w:val="null3"/>
        <w:ind w:firstLine="480"/>
        <w:jc w:val="left"/>
      </w:pPr>
      <w:r>
        <w:rPr>
          <w:rFonts w:ascii="仿宋_GB2312" w:hAnsi="仿宋_GB2312" w:cs="仿宋_GB2312" w:eastAsia="仿宋_GB2312"/>
        </w:rPr>
        <w:t>注：涉及核心产品的，具体评审规定见第四章。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四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四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A02030501 轿车</w:t>
            </w:r>
          </w:p>
        </w:tc>
        <w:tc>
          <w:tcPr>
            <w:tcW w:type="dxa" w:w="2492"/>
          </w:tcPr>
          <w:p>
            <w:pPr>
              <w:pStyle w:val="null3"/>
              <w:jc w:val="left"/>
            </w:pPr>
            <w:r>
              <w:rPr>
                <w:rFonts w:ascii="仿宋_GB2312" w:hAnsi="仿宋_GB2312" w:cs="仿宋_GB2312" w:eastAsia="仿宋_GB2312"/>
              </w:rPr>
              <w:t>一般执法执勤用车</w:t>
            </w:r>
          </w:p>
        </w:tc>
        <w:tc>
          <w:tcPr>
            <w:tcW w:type="dxa" w:w="2492"/>
          </w:tcPr>
          <w:p>
            <w:pPr>
              <w:pStyle w:val="null3"/>
              <w:jc w:val="left"/>
            </w:pPr>
            <w:r>
              <w:rPr>
                <w:rFonts w:ascii="仿宋_GB2312" w:hAnsi="仿宋_GB2312" w:cs="仿宋_GB2312" w:eastAsia="仿宋_GB2312"/>
              </w:rPr>
              <w:t>一般执法执勤用车</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四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标的名称：一般执法执勤用车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4474"/>
            </w:tblGrid>
            <w:tr>
              <w:tc>
                <w:tcPr>
                  <w:tcW w:type="dxa" w:w="44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能源类型</w:t>
                  </w:r>
                  <w:r>
                    <w:rPr>
                      <w:rFonts w:ascii="仿宋_GB2312" w:hAnsi="仿宋_GB2312" w:cs="仿宋_GB2312" w:eastAsia="仿宋_GB2312"/>
                      <w:sz w:val="24"/>
                    </w:rPr>
                    <w:t>：</w:t>
                  </w:r>
                  <w:r>
                    <w:rPr>
                      <w:rFonts w:ascii="仿宋_GB2312" w:hAnsi="仿宋_GB2312" w:cs="仿宋_GB2312" w:eastAsia="仿宋_GB2312"/>
                      <w:sz w:val="24"/>
                    </w:rPr>
                    <w:t>插电式混合动力</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2、电动机总功率</w:t>
                  </w:r>
                  <w:r>
                    <w:rPr>
                      <w:rFonts w:ascii="仿宋_GB2312" w:hAnsi="仿宋_GB2312" w:cs="仿宋_GB2312" w:eastAsia="仿宋_GB2312"/>
                      <w:sz w:val="24"/>
                    </w:rPr>
                    <w:t>（</w:t>
                  </w:r>
                  <w:r>
                    <w:rPr>
                      <w:rFonts w:ascii="仿宋_GB2312" w:hAnsi="仿宋_GB2312" w:cs="仿宋_GB2312" w:eastAsia="仿宋_GB2312"/>
                      <w:sz w:val="24"/>
                    </w:rPr>
                    <w:t>kW）：≥1</w:t>
                  </w:r>
                  <w:r>
                    <w:rPr>
                      <w:rFonts w:ascii="仿宋_GB2312" w:hAnsi="仿宋_GB2312" w:cs="仿宋_GB2312" w:eastAsia="仿宋_GB2312"/>
                      <w:sz w:val="24"/>
                    </w:rPr>
                    <w:t>50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3、电动机总扭矩（N•m）：≥</w:t>
                  </w:r>
                  <w:r>
                    <w:rPr>
                      <w:rFonts w:ascii="仿宋_GB2312" w:hAnsi="仿宋_GB2312" w:cs="仿宋_GB2312" w:eastAsia="仿宋_GB2312"/>
                      <w:sz w:val="24"/>
                    </w:rPr>
                    <w:t>260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4、电动机总马力（Ps）：</w:t>
                  </w:r>
                  <w:r>
                    <w:rPr>
                      <w:rFonts w:ascii="仿宋_GB2312" w:hAnsi="仿宋_GB2312" w:cs="仿宋_GB2312" w:eastAsia="仿宋_GB2312"/>
                      <w:sz w:val="24"/>
                    </w:rPr>
                    <w:t>≥</w:t>
                  </w:r>
                  <w:r>
                    <w:rPr>
                      <w:rFonts w:ascii="仿宋_GB2312" w:hAnsi="仿宋_GB2312" w:cs="仿宋_GB2312" w:eastAsia="仿宋_GB2312"/>
                      <w:sz w:val="24"/>
                    </w:rPr>
                    <w:t>210</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、电池类型：</w:t>
                  </w:r>
                  <w:r>
                    <w:rPr>
                      <w:rFonts w:ascii="仿宋_GB2312" w:hAnsi="仿宋_GB2312" w:cs="仿宋_GB2312" w:eastAsia="仿宋_GB2312"/>
                      <w:sz w:val="24"/>
                      <w:color w:val="000000"/>
                    </w:rPr>
                    <w:t>磷酸铁锂电池；</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、纯电</w:t>
                  </w:r>
                  <w:r>
                    <w:rPr>
                      <w:rFonts w:ascii="仿宋_GB2312" w:hAnsi="仿宋_GB2312" w:cs="仿宋_GB2312" w:eastAsia="仿宋_GB2312"/>
                      <w:sz w:val="24"/>
                    </w:rPr>
                    <w:t>CLTC续航里程(km)：≥</w:t>
                  </w:r>
                  <w:r>
                    <w:rPr>
                      <w:rFonts w:ascii="仿宋_GB2312" w:hAnsi="仿宋_GB2312" w:cs="仿宋_GB2312" w:eastAsia="仿宋_GB2312"/>
                      <w:sz w:val="24"/>
                    </w:rPr>
                    <w:t>120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7、轴距（mm）：≥27</w:t>
                  </w:r>
                  <w:r>
                    <w:rPr>
                      <w:rFonts w:ascii="仿宋_GB2312" w:hAnsi="仿宋_GB2312" w:cs="仿宋_GB2312" w:eastAsia="仿宋_GB2312"/>
                      <w:sz w:val="24"/>
                    </w:rPr>
                    <w:t>5</w:t>
                  </w:r>
                  <w:r>
                    <w:rPr>
                      <w:rFonts w:ascii="仿宋_GB2312" w:hAnsi="仿宋_GB2312" w:cs="仿宋_GB2312" w:eastAsia="仿宋_GB2312"/>
                      <w:sz w:val="24"/>
                    </w:rPr>
                    <w:t>0；</w:t>
                  </w:r>
                </w:p>
                <w:p>
                  <w:pPr>
                    <w:pStyle w:val="null3"/>
                    <w:jc w:val="both"/>
                  </w:pPr>
                  <w:r>
                    <w:rPr>
                      <w:rFonts w:ascii="仿宋_GB2312" w:hAnsi="仿宋_GB2312" w:cs="仿宋_GB2312" w:eastAsia="仿宋_GB2312"/>
                      <w:sz w:val="24"/>
                    </w:rPr>
                    <w:t>8、具有主副驾安全气囊；</w:t>
                  </w:r>
                </w:p>
                <w:p>
                  <w:pPr>
                    <w:pStyle w:val="null3"/>
                    <w:jc w:val="both"/>
                  </w:pPr>
                  <w:r>
                    <w:rPr>
                      <w:rFonts w:ascii="仿宋_GB2312" w:hAnsi="仿宋_GB2312" w:cs="仿宋_GB2312" w:eastAsia="仿宋_GB2312"/>
                      <w:sz w:val="24"/>
                    </w:rPr>
                    <w:t>9、车身机构；4门5座三厢车；</w:t>
                  </w:r>
                </w:p>
                <w:p>
                  <w:pPr>
                    <w:pStyle w:val="null3"/>
                    <w:jc w:val="both"/>
                  </w:pPr>
                  <w:r>
                    <w:rPr>
                      <w:rFonts w:ascii="仿宋_GB2312" w:hAnsi="仿宋_GB2312" w:cs="仿宋_GB2312" w:eastAsia="仿宋_GB2312"/>
                      <w:sz w:val="24"/>
                    </w:rPr>
                    <w:t>10、车辆尺寸：长×宽×高（mm）：≥4</w:t>
                  </w:r>
                  <w:r>
                    <w:rPr>
                      <w:rFonts w:ascii="仿宋_GB2312" w:hAnsi="仿宋_GB2312" w:cs="仿宋_GB2312" w:eastAsia="仿宋_GB2312"/>
                      <w:sz w:val="24"/>
                    </w:rPr>
                    <w:t>8</w:t>
                  </w:r>
                  <w:r>
                    <w:rPr>
                      <w:rFonts w:ascii="仿宋_GB2312" w:hAnsi="仿宋_GB2312" w:cs="仿宋_GB2312" w:eastAsia="仿宋_GB2312"/>
                      <w:sz w:val="24"/>
                    </w:rPr>
                    <w:t>00×</w:t>
                  </w:r>
                  <w:r>
                    <w:rPr>
                      <w:rFonts w:ascii="仿宋_GB2312" w:hAnsi="仿宋_GB2312" w:cs="仿宋_GB2312" w:eastAsia="仿宋_GB2312"/>
                      <w:sz w:val="24"/>
                    </w:rPr>
                    <w:t>18</w:t>
                  </w:r>
                  <w:r>
                    <w:rPr>
                      <w:rFonts w:ascii="仿宋_GB2312" w:hAnsi="仿宋_GB2312" w:cs="仿宋_GB2312" w:eastAsia="仿宋_GB2312"/>
                      <w:sz w:val="24"/>
                    </w:rPr>
                    <w:t>8</w:t>
                  </w:r>
                  <w:r>
                    <w:rPr>
                      <w:rFonts w:ascii="仿宋_GB2312" w:hAnsi="仿宋_GB2312" w:cs="仿宋_GB2312" w:eastAsia="仿宋_GB2312"/>
                      <w:sz w:val="24"/>
                    </w:rPr>
                    <w:t>0</w:t>
                  </w:r>
                  <w:r>
                    <w:rPr>
                      <w:rFonts w:ascii="仿宋_GB2312" w:hAnsi="仿宋_GB2312" w:cs="仿宋_GB2312" w:eastAsia="仿宋_GB2312"/>
                      <w:sz w:val="24"/>
                    </w:rPr>
                    <w:t>×1</w:t>
                  </w:r>
                  <w:r>
                    <w:rPr>
                      <w:rFonts w:ascii="仿宋_GB2312" w:hAnsi="仿宋_GB2312" w:cs="仿宋_GB2312" w:eastAsia="仿宋_GB2312"/>
                      <w:sz w:val="24"/>
                    </w:rPr>
                    <w:t>45</w:t>
                  </w:r>
                  <w:r>
                    <w:rPr>
                      <w:rFonts w:ascii="仿宋_GB2312" w:hAnsi="仿宋_GB2312" w:cs="仿宋_GB2312" w:eastAsia="仿宋_GB2312"/>
                      <w:sz w:val="24"/>
                    </w:rPr>
                    <w:t>0；</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轮胎规格：</w:t>
                  </w: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50</w:t>
                  </w:r>
                  <w:r>
                    <w:rPr>
                      <w:rFonts w:ascii="仿宋_GB2312" w:hAnsi="仿宋_GB2312" w:cs="仿宋_GB2312" w:eastAsia="仿宋_GB2312"/>
                      <w:sz w:val="24"/>
                    </w:rPr>
                    <w:t xml:space="preserve"> </w:t>
                  </w:r>
                  <w:r>
                    <w:rPr>
                      <w:rFonts w:ascii="仿宋_GB2312" w:hAnsi="仿宋_GB2312" w:cs="仿宋_GB2312" w:eastAsia="仿宋_GB2312"/>
                      <w:sz w:val="24"/>
                    </w:rPr>
                    <w:t>R</w:t>
                  </w:r>
                  <w:r>
                    <w:rPr>
                      <w:rFonts w:ascii="仿宋_GB2312" w:hAnsi="仿宋_GB2312" w:cs="仿宋_GB2312" w:eastAsia="仿宋_GB2312"/>
                      <w:sz w:val="24"/>
                    </w:rPr>
                    <w:t>17</w:t>
                  </w:r>
                </w:p>
                <w:p>
                  <w:pPr>
                    <w:pStyle w:val="null3"/>
                    <w:jc w:val="both"/>
                  </w:pPr>
                  <w:r>
                    <w:rPr>
                      <w:rFonts w:ascii="仿宋_GB2312" w:hAnsi="仿宋_GB2312" w:cs="仿宋_GB2312" w:eastAsia="仿宋_GB2312"/>
                      <w:sz w:val="24"/>
                    </w:rPr>
                    <w:t>12、悬架类型：</w:t>
                  </w:r>
                  <w:r>
                    <w:rPr>
                      <w:rFonts w:ascii="仿宋_GB2312" w:hAnsi="仿宋_GB2312" w:cs="仿宋_GB2312" w:eastAsia="仿宋_GB2312"/>
                      <w:sz w:val="24"/>
                    </w:rPr>
                    <w:t>前后</w:t>
                  </w:r>
                  <w:r>
                    <w:rPr>
                      <w:rFonts w:ascii="仿宋_GB2312" w:hAnsi="仿宋_GB2312" w:cs="仿宋_GB2312" w:eastAsia="仿宋_GB2312"/>
                      <w:sz w:val="24"/>
                    </w:rPr>
                    <w:t>独立悬架；</w:t>
                  </w:r>
                </w:p>
                <w:p>
                  <w:pPr>
                    <w:pStyle w:val="null3"/>
                    <w:jc w:val="both"/>
                  </w:pPr>
                  <w:r>
                    <w:rPr>
                      <w:rFonts w:ascii="仿宋_GB2312" w:hAnsi="仿宋_GB2312" w:cs="仿宋_GB2312" w:eastAsia="仿宋_GB2312"/>
                      <w:sz w:val="24"/>
                    </w:rPr>
                    <w:t>13、电池能量（kWh）:</w:t>
                  </w:r>
                  <w:r>
                    <w:rPr>
                      <w:rFonts w:ascii="仿宋_GB2312" w:hAnsi="仿宋_GB2312" w:cs="仿宋_GB2312" w:eastAsia="仿宋_GB2312"/>
                      <w:sz w:val="24"/>
                    </w:rPr>
                    <w:t>≥</w:t>
                  </w:r>
                  <w:r>
                    <w:rPr>
                      <w:rFonts w:ascii="仿宋_GB2312" w:hAnsi="仿宋_GB2312" w:cs="仿宋_GB2312" w:eastAsia="仿宋_GB2312"/>
                      <w:sz w:val="24"/>
                    </w:rPr>
                    <w:t>15</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天窗：</w:t>
                  </w:r>
                  <w:r>
                    <w:rPr>
                      <w:rFonts w:ascii="仿宋_GB2312" w:hAnsi="仿宋_GB2312" w:cs="仿宋_GB2312" w:eastAsia="仿宋_GB2312"/>
                      <w:sz w:val="24"/>
                    </w:rPr>
                    <w:t>可开启全景</w:t>
                  </w:r>
                  <w:r>
                    <w:rPr>
                      <w:rFonts w:ascii="仿宋_GB2312" w:hAnsi="仿宋_GB2312" w:cs="仿宋_GB2312" w:eastAsia="仿宋_GB2312"/>
                      <w:sz w:val="24"/>
                    </w:rPr>
                    <w:t>天窗</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、具有</w:t>
                  </w:r>
                  <w:r>
                    <w:rPr>
                      <w:rFonts w:ascii="仿宋_GB2312" w:hAnsi="仿宋_GB2312" w:cs="仿宋_GB2312" w:eastAsia="仿宋_GB2312"/>
                      <w:sz w:val="24"/>
                    </w:rPr>
                    <w:t>刹车辅助</w:t>
                  </w:r>
                  <w:r>
                    <w:rPr>
                      <w:rFonts w:ascii="仿宋_GB2312" w:hAnsi="仿宋_GB2312" w:cs="仿宋_GB2312" w:eastAsia="仿宋_GB2312"/>
                      <w:sz w:val="24"/>
                    </w:rPr>
                    <w:t>(EBA/BAS/BA等)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、具有自动空调；</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、具有倒车影像；</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、具有车身稳定系统（</w:t>
                  </w:r>
                  <w:r>
                    <w:rPr>
                      <w:rFonts w:ascii="仿宋_GB2312" w:hAnsi="仿宋_GB2312" w:cs="仿宋_GB2312" w:eastAsia="仿宋_GB2312"/>
                      <w:sz w:val="24"/>
                    </w:rPr>
                    <w:t>ESC或ESP或DSC）；</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9</w:t>
                  </w:r>
                  <w:r>
                    <w:rPr>
                      <w:rFonts w:ascii="仿宋_GB2312" w:hAnsi="仿宋_GB2312" w:cs="仿宋_GB2312" w:eastAsia="仿宋_GB2312"/>
                      <w:sz w:val="24"/>
                    </w:rPr>
                    <w:t>、具有车载卫星导航系统；</w:t>
                  </w:r>
                </w:p>
                <w:p>
                  <w:pPr>
                    <w:pStyle w:val="null3"/>
                    <w:jc w:val="both"/>
                  </w:pPr>
                  <w:r>
                    <w:rPr>
                      <w:rFonts w:ascii="仿宋_GB2312" w:hAnsi="仿宋_GB2312" w:cs="仿宋_GB2312" w:eastAsia="仿宋_GB2312"/>
                      <w:sz w:val="24"/>
                    </w:rPr>
                    <w:t>20</w:t>
                  </w:r>
                  <w:r>
                    <w:rPr>
                      <w:rFonts w:ascii="仿宋_GB2312" w:hAnsi="仿宋_GB2312" w:cs="仿宋_GB2312" w:eastAsia="仿宋_GB2312"/>
                      <w:sz w:val="24"/>
                    </w:rPr>
                    <w:t>、具有</w:t>
                  </w:r>
                  <w:r>
                    <w:rPr>
                      <w:rFonts w:ascii="仿宋_GB2312" w:hAnsi="仿宋_GB2312" w:cs="仿宋_GB2312" w:eastAsia="仿宋_GB2312"/>
                      <w:sz w:val="24"/>
                    </w:rPr>
                    <w:t>LED大灯；</w:t>
                  </w:r>
                </w:p>
                <w:p>
                  <w:pPr>
                    <w:pStyle w:val="null3"/>
                    <w:jc w:val="both"/>
                  </w:pPr>
                  <w:r>
                    <w:rPr>
                      <w:rFonts w:ascii="仿宋_GB2312" w:hAnsi="仿宋_GB2312" w:cs="仿宋_GB2312" w:eastAsia="仿宋_GB2312"/>
                      <w:sz w:val="24"/>
                    </w:rPr>
                    <w:t>21、具有感应雨刷</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、驱动形式：前置前驱；</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、巡航系统：全速自适应巡航；</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、中控大屏：</w:t>
                  </w: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英寸；</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、驻车制动类型：电子驻车；</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color w:val="000000"/>
                    </w:rPr>
                    <w:t>制</w:t>
                  </w:r>
                  <w:r>
                    <w:rPr>
                      <w:rFonts w:ascii="仿宋_GB2312" w:hAnsi="仿宋_GB2312" w:cs="仿宋_GB2312" w:eastAsia="仿宋_GB2312"/>
                      <w:sz w:val="24"/>
                    </w:rPr>
                    <w:t>动系统：前：通风盘式，后：盘式。</w:t>
                  </w:r>
                </w:p>
                <w:p>
                  <w:pPr>
                    <w:pStyle w:val="null3"/>
                    <w:jc w:val="both"/>
                  </w:pPr>
                  <w:r>
                    <w:rPr>
                      <w:rFonts w:ascii="仿宋_GB2312" w:hAnsi="仿宋_GB2312" w:cs="仿宋_GB2312" w:eastAsia="仿宋_GB2312"/>
                      <w:sz w:val="24"/>
                    </w:rPr>
                    <w:t>27、排放标准：</w:t>
                  </w:r>
                  <w:r>
                    <w:rPr>
                      <w:rFonts w:ascii="仿宋_GB2312" w:hAnsi="仿宋_GB2312" w:cs="仿宋_GB2312" w:eastAsia="仿宋_GB2312"/>
                      <w:sz w:val="24"/>
                    </w:rPr>
                    <w:t>国</w:t>
                  </w:r>
                  <w:r>
                    <w:rPr>
                      <w:rFonts w:ascii="仿宋_GB2312" w:hAnsi="仿宋_GB2312" w:cs="仿宋_GB2312" w:eastAsia="仿宋_GB2312"/>
                      <w:sz w:val="24"/>
                    </w:rPr>
                    <w:t>VI</w:t>
                  </w:r>
                </w:p>
                <w:p>
                  <w:pPr>
                    <w:pStyle w:val="null3"/>
                    <w:jc w:val="both"/>
                  </w:pPr>
                  <w:r>
                    <w:rPr>
                      <w:rFonts w:ascii="仿宋_GB2312" w:hAnsi="仿宋_GB2312" w:cs="仿宋_GB2312" w:eastAsia="仿宋_GB2312"/>
                      <w:sz w:val="24"/>
                    </w:rPr>
                    <w:t>28</w:t>
                  </w:r>
                  <w:r>
                    <w:rPr>
                      <w:rFonts w:ascii="仿宋_GB2312" w:hAnsi="仿宋_GB2312" w:cs="仿宋_GB2312" w:eastAsia="仿宋_GB2312"/>
                      <w:sz w:val="24"/>
                    </w:rPr>
                    <w:t>、涂装要求：要求车身颜色按《</w:t>
                  </w:r>
                  <w:r>
                    <w:rPr>
                      <w:rFonts w:ascii="仿宋_GB2312" w:hAnsi="仿宋_GB2312" w:cs="仿宋_GB2312" w:eastAsia="仿宋_GB2312"/>
                      <w:sz w:val="24"/>
                    </w:rPr>
                    <w:t>2004式警车汽车类外观制式涂装规范》（GA524-2004）标准涂装；</w:t>
                  </w:r>
                </w:p>
              </w:tc>
            </w:tr>
          </w:tbl>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服务要求</w:t>
            </w:r>
          </w:p>
        </w:tc>
        <w:tc>
          <w:tcPr>
            <w:tcW w:type="dxa" w:w="5814"/>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车辆全车玻璃贴膜：配备；（此玻璃膜满足：可见光透射比、太阳光直接反射比</w:t>
            </w:r>
            <w:r>
              <w:rPr>
                <w:rFonts w:ascii="仿宋_GB2312" w:hAnsi="仿宋_GB2312" w:cs="仿宋_GB2312" w:eastAsia="仿宋_GB2312"/>
                <w:sz w:val="24"/>
              </w:rPr>
              <w:t>(玻璃面)、太阳光直接透射比、太阳能总透射比、遮蔽系数≤0.62、紫外线透射比、可见光反射比(玻璃面)、可见光反射比(膜面)符合JC846标准要求</w:t>
            </w:r>
            <w:r>
              <w:rPr>
                <w:rFonts w:ascii="仿宋_GB2312" w:hAnsi="仿宋_GB2312" w:cs="仿宋_GB2312" w:eastAsia="仿宋_GB2312"/>
                <w:sz w:val="24"/>
              </w:rPr>
              <w:t>),</w:t>
            </w:r>
            <w:r>
              <w:rPr>
                <w:rFonts w:ascii="仿宋_GB2312" w:hAnsi="仿宋_GB2312" w:cs="仿宋_GB2312" w:eastAsia="仿宋_GB2312"/>
                <w:sz w:val="24"/>
              </w:rPr>
              <w:t>车辆验收时，针对车辆全车玻璃贴膜进行验收，贴膜和车辆玻璃表面贴附粘牢，没有气泡、皱褶、翘角等缺陷。如车辆全车玻璃贴膜验收不合格，视为供应商</w:t>
            </w:r>
            <w:r>
              <w:rPr>
                <w:rFonts w:ascii="仿宋_GB2312" w:hAnsi="仿宋_GB2312" w:cs="仿宋_GB2312" w:eastAsia="仿宋_GB2312"/>
                <w:sz w:val="24"/>
              </w:rPr>
              <w:t>没有按照服务要求执行，采购人有权拒绝收货。</w:t>
            </w:r>
            <w:r>
              <w:rPr>
                <w:rFonts w:ascii="仿宋_GB2312" w:hAnsi="仿宋_GB2312" w:cs="仿宋_GB2312" w:eastAsia="仿宋_GB2312"/>
                <w:sz w:val="24"/>
              </w:rPr>
              <w:t>【说明：供应商在响应时需提供承诺函，格式自拟】</w:t>
            </w:r>
          </w:p>
          <w:p>
            <w:pPr>
              <w:pStyle w:val="null3"/>
              <w:jc w:val="both"/>
            </w:pPr>
            <w:r>
              <w:rPr>
                <w:rFonts w:ascii="仿宋_GB2312" w:hAnsi="仿宋_GB2312" w:cs="仿宋_GB2312" w:eastAsia="仿宋_GB2312"/>
                <w:sz w:val="24"/>
              </w:rPr>
              <w:t>2、车辆配备360航空软包一套；</w:t>
            </w:r>
            <w:r>
              <w:rPr>
                <w:rFonts w:ascii="仿宋_GB2312" w:hAnsi="仿宋_GB2312" w:cs="仿宋_GB2312" w:eastAsia="仿宋_GB2312"/>
                <w:sz w:val="24"/>
              </w:rPr>
              <w:t>【说明：供应商在响应时需提供承诺函</w:t>
            </w:r>
            <w:r>
              <w:rPr>
                <w:rFonts w:ascii="仿宋_GB2312" w:hAnsi="仿宋_GB2312" w:cs="仿宋_GB2312" w:eastAsia="仿宋_GB2312"/>
                <w:sz w:val="24"/>
              </w:rPr>
              <w:t>，格式自拟</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供应商所响应车辆应保证能正常上户使用，并协助采购人完成车辆上户。【说明：供应商在响应时需提供承诺函</w:t>
            </w:r>
            <w:r>
              <w:rPr>
                <w:rFonts w:ascii="仿宋_GB2312" w:hAnsi="仿宋_GB2312" w:cs="仿宋_GB2312" w:eastAsia="仿宋_GB2312"/>
                <w:sz w:val="24"/>
              </w:rPr>
              <w:t>，格式自拟</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车辆验收时，采购人将针对车辆</w:t>
            </w:r>
            <w:r>
              <w:rPr>
                <w:rFonts w:ascii="仿宋_GB2312" w:hAnsi="仿宋_GB2312" w:cs="仿宋_GB2312" w:eastAsia="仿宋_GB2312"/>
                <w:sz w:val="24"/>
              </w:rPr>
              <w:t>“2004式警车外观制式涂装”是否涂装规范进行验收：</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.1喷漆涂装</w:t>
            </w:r>
          </w:p>
          <w:p>
            <w:pPr>
              <w:pStyle w:val="null3"/>
              <w:jc w:val="both"/>
            </w:pPr>
            <w:r>
              <w:rPr>
                <w:rFonts w:ascii="仿宋_GB2312" w:hAnsi="仿宋_GB2312" w:cs="仿宋_GB2312" w:eastAsia="仿宋_GB2312"/>
                <w:sz w:val="24"/>
              </w:rPr>
              <w:t>喷漆涂装使用</w:t>
            </w:r>
            <w:r>
              <w:rPr>
                <w:rFonts w:ascii="仿宋_GB2312" w:hAnsi="仿宋_GB2312" w:cs="仿宋_GB2312" w:eastAsia="仿宋_GB2312"/>
                <w:sz w:val="24"/>
              </w:rPr>
              <w:t>GA524-2004 《警车外观制式涂装用定色漆》规定的定色漆。漆面应颜色均匀，平整光滑，边缘线没有锯齿，无流挂露底。</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.2贴膜涂装</w:t>
            </w:r>
          </w:p>
          <w:p>
            <w:pPr>
              <w:pStyle w:val="null3"/>
              <w:jc w:val="both"/>
            </w:pPr>
            <w:r>
              <w:rPr>
                <w:rFonts w:ascii="仿宋_GB2312" w:hAnsi="仿宋_GB2312" w:cs="仿宋_GB2312" w:eastAsia="仿宋_GB2312"/>
                <w:sz w:val="24"/>
              </w:rPr>
              <w:t>贴膜的要素以柔韧性反光膜为材料，采用丝网印刷制作，除图案和尺寸外，应符合《</w:t>
            </w:r>
            <w:r>
              <w:rPr>
                <w:rFonts w:ascii="仿宋_GB2312" w:hAnsi="仿宋_GB2312" w:cs="仿宋_GB2312" w:eastAsia="仿宋_GB2312"/>
                <w:sz w:val="24"/>
              </w:rPr>
              <w:t>2004式警车汽车类外观制式涂装规范》（标准号：GA 524-2004）。贴膜应和车身表面贴附粘牢，没有气泡、皱褶、翘角等缺陷。</w:t>
            </w:r>
          </w:p>
          <w:p>
            <w:pPr>
              <w:pStyle w:val="null3"/>
              <w:jc w:val="both"/>
            </w:pPr>
            <w:r>
              <w:rPr>
                <w:rFonts w:ascii="仿宋_GB2312" w:hAnsi="仿宋_GB2312" w:cs="仿宋_GB2312" w:eastAsia="仿宋_GB2312"/>
                <w:sz w:val="24"/>
              </w:rPr>
              <w:t>如车辆外观制式涂装验收不合格，视为供应商</w:t>
            </w:r>
            <w:r>
              <w:rPr>
                <w:rFonts w:ascii="仿宋_GB2312" w:hAnsi="仿宋_GB2312" w:cs="仿宋_GB2312" w:eastAsia="仿宋_GB2312"/>
                <w:sz w:val="24"/>
              </w:rPr>
              <w:t>没有按照服务要求执行，采购人有权拒绝收货。</w:t>
            </w:r>
            <w:r>
              <w:rPr>
                <w:rFonts w:ascii="仿宋_GB2312" w:hAnsi="仿宋_GB2312" w:cs="仿宋_GB2312" w:eastAsia="仿宋_GB2312"/>
                <w:sz w:val="24"/>
              </w:rPr>
              <w:t>【说明：供应商在响应时需提供承诺函</w:t>
            </w:r>
            <w:r>
              <w:rPr>
                <w:rFonts w:ascii="仿宋_GB2312" w:hAnsi="仿宋_GB2312" w:cs="仿宋_GB2312" w:eastAsia="仿宋_GB2312"/>
                <w:sz w:val="24"/>
              </w:rPr>
              <w:t>，格式自拟</w:t>
            </w:r>
            <w:r>
              <w:rPr>
                <w:rFonts w:ascii="仿宋_GB2312" w:hAnsi="仿宋_GB2312" w:cs="仿宋_GB2312" w:eastAsia="仿宋_GB2312"/>
                <w:sz w:val="24"/>
              </w:rPr>
              <w:t>】</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自合同签订之日起30日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上门自提</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1、车辆验收合格，达到付款条件起30日内，支付合同总金额的100.00%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国家相关规定和行业标准，现场验收。</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本项目整车质保期6年或15万公里（具体零部件分项质保以随车手册为准）；“三电”质 保期以行业和国家标准为准。若国家有明确规定的质量保证期高于此质量保证期的，执行国家规定。</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一、采购方违约责任： 采购方无正当理由拒收货物、拒付货款的，采购方应 向投标人偿付拒付货款 5％的违约金。 二、投标人违约责任： （1）投标人所交付的货 物不符合本合同规定的，采购方有权拒收，同时投标人应向采购方支付合同总价 5％的违约金。投标人应在得到采购方通知之 日起30 个工作日内采取补救措施。若投标人上述期限内所提供的货物仍不符合规定，投标人应向采购方另行支付合同总价 5 %的违约金，同时采购方有权单方面无条件解除合同。 （2）投标人无正当理由逾期交付货物的，每逾期 1 天，投标人向采 购方偿付逾期交货部分货款总金额的 0.1‰的违约金。如投标人逾期交货达 30 天，采购方有权解除合同，采购方解除合同 的通知自到达投标人时生效。在此情况下，投标人给采购方造成的实际损失高于违约金的，对高出违约金的部分投标人应予以 赔偿。 （3）在投标人承诺的或国家规定的质量保证期内（取两者中最长的期限），如同一质量问题经投标人 3 次维修，货 物仍不能达到合同约定的质量标准、运行效果的，采购方有权要求投标人更换为全新合格货物并按本条第 1 款处理，同时， 投标人还须赔偿采购方因此遭受的损失。 （4）投标人保证本合同货物的权利无瑕疵，包括货物所有权及知识产权等权利无瑕 疵。如产生了任何的纠纷、索赔或诉讼等，投标人除应向采购方返还已收款项外，还应另按合同总价的 5 %向采购方支付违 约金并赔偿因此给采购方造成的一切损失。 三、一方偿付的违约金不足以弥补另一方损失的，还应按另一方损失尚未弥补的 部分，支付赔偿金给另一方。</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评审办法</w:t>
      </w:r>
    </w:p>
    <w:p>
      <w:pPr>
        <w:pStyle w:val="null3"/>
        <w:jc w:val="left"/>
        <w:outlineLvl w:val="2"/>
      </w:pPr>
      <w:r>
        <w:rPr>
          <w:rFonts w:ascii="仿宋_GB2312" w:hAnsi="仿宋_GB2312" w:cs="仿宋_GB2312" w:eastAsia="仿宋_GB2312"/>
          <w:sz w:val="28"/>
          <w:b/>
        </w:rPr>
        <w:t>4.1.总则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采购项目特点制定本次询价评审办法。</w:t>
      </w:r>
    </w:p>
    <w:p>
      <w:pPr>
        <w:pStyle w:val="null3"/>
        <w:ind w:firstLine="480"/>
        <w:jc w:val="left"/>
      </w:pPr>
      <w:r>
        <w:rPr>
          <w:rFonts w:ascii="仿宋_GB2312" w:hAnsi="仿宋_GB2312" w:cs="仿宋_GB2312" w:eastAsia="仿宋_GB2312"/>
        </w:rPr>
        <w:t>二、评审工作由代理机构组织，具体评审事务由依法组建的询价小组负责，询价小组由采购人代表和评审专家组成。</w:t>
      </w:r>
    </w:p>
    <w:p>
      <w:pPr>
        <w:pStyle w:val="null3"/>
        <w:ind w:firstLine="480"/>
        <w:jc w:val="left"/>
      </w:pPr>
      <w:r>
        <w:rPr>
          <w:rFonts w:ascii="仿宋_GB2312" w:hAnsi="仿宋_GB2312" w:cs="仿宋_GB2312" w:eastAsia="仿宋_GB2312"/>
        </w:rPr>
        <w:t>三、评审工作应遵循客观、公正、审慎的原则，根据询价通知书规定的评审程序、评审方法和评审标准进行独立评审。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四、本项目采取电子评审，通过交易系统完成评审工作。询价小组成员、采购人、代理机构和供应商应当按照本询价通知书规定和交易系统操作要求开展或者参加评审活动。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询价小组成员在签署询价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4.2.询价小组</w:t>
      </w:r>
    </w:p>
    <w:p>
      <w:pPr>
        <w:pStyle w:val="null3"/>
        <w:ind w:firstLine="480"/>
        <w:jc w:val="left"/>
      </w:pPr>
      <w:r>
        <w:rPr>
          <w:rFonts w:ascii="仿宋_GB2312" w:hAnsi="仿宋_GB2312" w:cs="仿宋_GB2312" w:eastAsia="仿宋_GB2312"/>
        </w:rPr>
        <w:t>一、本项目询价小组成员人数应为3人以上单数，其中评审专家不得少于成员总数的三分之二。采购预算金额达到公开招标数额标准的货物，询价小组成员人数应为5人以上单数。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二、询价小组成员应当满足并适应电子化采购评审的工作需要，登录交易系统进入项目评审功能模块确认身份、签到、推荐询价小组组长。采购人代表可以使用采购人代表专用签章确认评审意见。</w:t>
      </w:r>
    </w:p>
    <w:p>
      <w:pPr>
        <w:pStyle w:val="null3"/>
        <w:ind w:firstLine="480"/>
        <w:jc w:val="left"/>
      </w:pPr>
      <w:r>
        <w:rPr>
          <w:rFonts w:ascii="仿宋_GB2312" w:hAnsi="仿宋_GB2312" w:cs="仿宋_GB2312" w:eastAsia="仿宋_GB2312"/>
        </w:rPr>
        <w:t>三、询价小组成员获取解密后的响应文件，开展评审活动。出现评审专家请假、回避等情况时，采购人或者代理机构按规定申请补充抽取评审专家。无法及时补充抽取的，采购人或者代理机构应当封存供应商响应文件，按规定重新组建询价小组，解封响应文件后，开展评审活动。</w:t>
      </w:r>
    </w:p>
    <w:p>
      <w:pPr>
        <w:pStyle w:val="null3"/>
        <w:ind w:firstLine="480"/>
        <w:jc w:val="left"/>
      </w:pPr>
      <w:r>
        <w:rPr>
          <w:rFonts w:ascii="仿宋_GB2312" w:hAnsi="仿宋_GB2312" w:cs="仿宋_GB2312" w:eastAsia="仿宋_GB2312"/>
        </w:rPr>
        <w:t>四、询价小组应当履行下列职责：</w:t>
      </w:r>
    </w:p>
    <w:p>
      <w:pPr>
        <w:pStyle w:val="null3"/>
        <w:ind w:firstLine="480"/>
        <w:jc w:val="left"/>
      </w:pPr>
      <w:r>
        <w:rPr>
          <w:rFonts w:ascii="仿宋_GB2312" w:hAnsi="仿宋_GB2312" w:cs="仿宋_GB2312" w:eastAsia="仿宋_GB2312"/>
        </w:rPr>
        <w:t>（一）熟悉和理解询价通知书；</w:t>
      </w:r>
    </w:p>
    <w:p>
      <w:pPr>
        <w:pStyle w:val="null3"/>
        <w:ind w:firstLine="480"/>
        <w:jc w:val="left"/>
      </w:pPr>
      <w:r>
        <w:rPr>
          <w:rFonts w:ascii="仿宋_GB2312" w:hAnsi="仿宋_GB2312" w:cs="仿宋_GB2312" w:eastAsia="仿宋_GB2312"/>
        </w:rPr>
        <w:t>（二）审查、评价供应商响应文件等是否满足询价通知书要求；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（四）根据需要要求采购人、代理机构对询价通知书作出解释；根据需要要求供应商对响应文件有关事项作出澄清、说明或者更正；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（六）起草资格审查报告、询价报告并进行签署；</w:t>
      </w:r>
    </w:p>
    <w:p>
      <w:pPr>
        <w:pStyle w:val="null3"/>
        <w:ind w:firstLine="480"/>
        <w:jc w:val="left"/>
      </w:pPr>
      <w:r>
        <w:rPr>
          <w:rFonts w:ascii="仿宋_GB2312" w:hAnsi="仿宋_GB2312" w:cs="仿宋_GB2312" w:eastAsia="仿宋_GB2312"/>
        </w:rPr>
        <w:t>（七）向采购人、代理机构或者有关部门报告协商中发现的违法行为；</w:t>
      </w:r>
    </w:p>
    <w:p>
      <w:pPr>
        <w:pStyle w:val="null3"/>
        <w:ind w:firstLine="480"/>
        <w:jc w:val="left"/>
      </w:pPr>
      <w:r>
        <w:rPr>
          <w:rFonts w:ascii="仿宋_GB2312" w:hAnsi="仿宋_GB2312" w:cs="仿宋_GB2312" w:eastAsia="仿宋_GB2312"/>
        </w:rPr>
        <w:t>（八）按规定告知供应商，未实质性响应询价通知书的响应文件按无效响应处理；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4.3.评审程序</w:t>
      </w:r>
    </w:p>
    <w:p>
      <w:pPr>
        <w:pStyle w:val="null3"/>
        <w:jc w:val="left"/>
        <w:outlineLvl w:val="3"/>
      </w:pPr>
      <w:r>
        <w:rPr>
          <w:rFonts w:ascii="仿宋_GB2312" w:hAnsi="仿宋_GB2312" w:cs="仿宋_GB2312" w:eastAsia="仿宋_GB2312"/>
          <w:sz w:val="24"/>
          <w:b/>
        </w:rPr>
        <w:t>4.3.1.熟悉和理解询价通知书</w:t>
      </w:r>
    </w:p>
    <w:p>
      <w:pPr>
        <w:pStyle w:val="null3"/>
        <w:ind w:firstLine="480"/>
        <w:jc w:val="left"/>
      </w:pPr>
      <w:r>
        <w:rPr>
          <w:rFonts w:ascii="仿宋_GB2312" w:hAnsi="仿宋_GB2312" w:cs="仿宋_GB2312" w:eastAsia="仿宋_GB2312"/>
        </w:rPr>
        <w:t>询价小组正式评审前，应当对询价通知书进行熟悉和理解，内容主要包括询价通知书中供应商资格条件要求、采购项目技术、服务和商务要求、评审方法和标准以及政府采购合同的内容等。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4.3.2.停止评审的情形</w:t>
      </w:r>
    </w:p>
    <w:p>
      <w:pPr>
        <w:pStyle w:val="null3"/>
        <w:ind w:firstLine="480"/>
        <w:jc w:val="left"/>
      </w:pPr>
      <w:r>
        <w:rPr>
          <w:rFonts w:ascii="仿宋_GB2312" w:hAnsi="仿宋_GB2312" w:cs="仿宋_GB2312" w:eastAsia="仿宋_GB2312"/>
        </w:rPr>
        <w:t>询价小组熟悉和理解询价通知书以及评审过程中，发现本询价通知书有下列情形之一的，询价小组应当停止评审：</w:t>
      </w:r>
    </w:p>
    <w:p>
      <w:pPr>
        <w:pStyle w:val="null3"/>
        <w:ind w:firstLine="480"/>
        <w:jc w:val="left"/>
      </w:pPr>
      <w:r>
        <w:rPr>
          <w:rFonts w:ascii="仿宋_GB2312" w:hAnsi="仿宋_GB2312" w:cs="仿宋_GB2312" w:eastAsia="仿宋_GB2312"/>
        </w:rPr>
        <w:t>一、询价通知书的规定存在歧义、重大缺陷，导致评审工作无法进行的；</w:t>
      </w:r>
    </w:p>
    <w:p>
      <w:pPr>
        <w:pStyle w:val="null3"/>
        <w:ind w:firstLine="480"/>
        <w:jc w:val="left"/>
      </w:pPr>
      <w:r>
        <w:rPr>
          <w:rFonts w:ascii="仿宋_GB2312" w:hAnsi="仿宋_GB2312" w:cs="仿宋_GB2312" w:eastAsia="仿宋_GB2312"/>
        </w:rPr>
        <w:t>二、询价通知书明显以不合理条件对供应商实行差别待遇或者歧视待遇的；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三、采购项目属于国家规定的优先、强制采购范围，但是询价通知书未依法体现优先、强制采购相关规定的；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四、采购项目属于政府采购促进中小企业发展的范围，但是询价通知书未依法体现促进中小企业发展相关规定的；</w:t>
      </w:r>
    </w:p>
    <w:p>
      <w:pPr>
        <w:pStyle w:val="null3"/>
        <w:ind w:firstLine="480"/>
        <w:jc w:val="left"/>
      </w:pPr>
      <w:r>
        <w:rPr>
          <w:rFonts w:ascii="仿宋_GB2312" w:hAnsi="仿宋_GB2312" w:cs="仿宋_GB2312" w:eastAsia="仿宋_GB2312"/>
        </w:rPr>
        <w:t>五、询价通知书载明的成交原则不合法的；</w:t>
      </w:r>
    </w:p>
    <w:p>
      <w:pPr>
        <w:pStyle w:val="null3"/>
        <w:ind w:firstLine="480"/>
        <w:jc w:val="left"/>
      </w:pPr>
      <w:r>
        <w:rPr>
          <w:rFonts w:ascii="仿宋_GB2312" w:hAnsi="仿宋_GB2312" w:cs="仿宋_GB2312" w:eastAsia="仿宋_GB2312"/>
        </w:rPr>
        <w:t>六、询价通知书有违反国家其他有关强制性规定的情形。</w:t>
      </w:r>
    </w:p>
    <w:p>
      <w:pPr>
        <w:pStyle w:val="null3"/>
        <w:ind w:firstLine="480"/>
        <w:jc w:val="left"/>
      </w:pPr>
      <w:r>
        <w:rPr>
          <w:rFonts w:ascii="仿宋_GB2312" w:hAnsi="仿宋_GB2312" w:cs="仿宋_GB2312" w:eastAsia="仿宋_GB2312"/>
        </w:rPr>
        <w:t>出现上述应当停止评审情形的，询价小组应当通过交易系统向采购组织单位提交相关说明材料，说明停止评审的情形和具体理由。除上述情形外，询价小组不得以任何方式和理由停止评审。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询价小组不应当停止评审的，可以通过交易系统书面报告采购项目同级财政部门依法处理，并提供相关证明材料。</w:t>
      </w:r>
    </w:p>
    <w:p>
      <w:pPr>
        <w:pStyle w:val="null3"/>
        <w:jc w:val="left"/>
        <w:outlineLvl w:val="3"/>
      </w:pPr>
      <w:r>
        <w:rPr>
          <w:rFonts w:ascii="仿宋_GB2312" w:hAnsi="仿宋_GB2312" w:cs="仿宋_GB2312" w:eastAsia="仿宋_GB2312"/>
          <w:sz w:val="24"/>
          <w:b/>
        </w:rPr>
        <w:t>4.3.3.资格审查</w:t>
      </w:r>
    </w:p>
    <w:p>
      <w:pPr>
        <w:pStyle w:val="null3"/>
        <w:ind w:firstLine="480"/>
        <w:jc w:val="left"/>
      </w:pPr>
      <w:r>
        <w:rPr>
          <w:rFonts w:ascii="仿宋_GB2312" w:hAnsi="仿宋_GB2312" w:cs="仿宋_GB2312" w:eastAsia="仿宋_GB2312"/>
        </w:rPr>
        <w:t>网上开启完成后，由询价小组依据法律法规和询价通知书的规定，对成功解密的响应文件中供应商资格证明等进行审查并出具资格审查报告。资格审查标准及要求如下：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4.3.3.1.一般资格审查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提供：1.经审计的2023年或2024年度财务报告（包含审计报告和审计报告中所涉及的财务报表和报表附注）。2.银行出具一年内的资信证明。3.未经审计的提供2023年或2024年度财务报告（至少包括资产负债表、利润表）。4.供应商注册时间截至响应文件提交截止之日前不足一年的，也可提供在相关主管部门备案的公司章程等证明材料。（提供1-4任何一条均可）</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4.3.3.2.落实政府采购政策资格审查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4.3.3.3.特定资格审查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4.3.4.符合性审查</w:t>
      </w:r>
    </w:p>
    <w:p>
      <w:pPr>
        <w:pStyle w:val="null3"/>
        <w:ind w:firstLine="480"/>
        <w:jc w:val="left"/>
      </w:pPr>
      <w:r>
        <w:rPr>
          <w:rFonts w:ascii="仿宋_GB2312" w:hAnsi="仿宋_GB2312" w:cs="仿宋_GB2312" w:eastAsia="仿宋_GB2312"/>
        </w:rPr>
        <w:t>询价小组依据本询价通知书的符合性审查要求，对符合资格要求供应商的响应文件有效性、完整性和响应程度进行审查。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在符合性审查过程中，如果出现询价小组成员意见不一致的情况，按照少数服从多数的原则确定，但不得违反政府采购基本原则和询价通知书规定。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供应商认为应该提交的其他资料（若有）.docx,产品技术参数响应表,供应商应提交的相关证明材料,服务应答表,报价表,投标（响应）函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投标（响应）文件组成、内容是否符合本文件要求。</w:t>
            </w:r>
          </w:p>
        </w:tc>
        <w:tc>
          <w:tcPr>
            <w:tcW w:type="dxa" w:w="3322"/>
          </w:tcPr>
          <w:p>
            <w:pPr>
              <w:pStyle w:val="null3"/>
              <w:jc w:val="left"/>
            </w:pPr>
            <w:r>
              <w:rPr>
                <w:rFonts w:ascii="仿宋_GB2312" w:hAnsi="仿宋_GB2312" w:cs="仿宋_GB2312" w:eastAsia="仿宋_GB2312"/>
              </w:rPr>
              <w:t>投标（响应）文件技术规格、技术标准等是否符合本文件要求。</w:t>
            </w:r>
          </w:p>
        </w:tc>
        <w:tc>
          <w:tcPr>
            <w:tcW w:type="dxa" w:w="1910"/>
          </w:tcPr>
          <w:p>
            <w:pPr>
              <w:pStyle w:val="null3"/>
              <w:jc w:val="left"/>
            </w:pPr>
            <w:r>
              <w:rPr>
                <w:rFonts w:ascii="仿宋_GB2312" w:hAnsi="仿宋_GB2312" w:cs="仿宋_GB2312" w:eastAsia="仿宋_GB2312"/>
              </w:rPr>
              <w:t>供应商认为应该提交的其他资料（若有）.docx,产品技术参数响应表,供应商应提交的相关证明材料,服务应答表,报价表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响应文件满足以上符合性审查要求的，则通过符合性审查；如有任意一项未满足符合性审查要求的，则按无效响应处理，并在询价报告中载明未通过符合性审查的具体原因。</w:t>
      </w:r>
    </w:p>
    <w:p>
      <w:pPr>
        <w:pStyle w:val="null3"/>
        <w:jc w:val="left"/>
        <w:outlineLvl w:val="3"/>
      </w:pPr>
      <w:r>
        <w:rPr>
          <w:rFonts w:ascii="仿宋_GB2312" w:hAnsi="仿宋_GB2312" w:cs="仿宋_GB2312" w:eastAsia="仿宋_GB2312"/>
          <w:sz w:val="24"/>
          <w:b/>
        </w:rPr>
        <w:t>4.3.5.解释、澄清、说明的有关问题</w:t>
      </w:r>
    </w:p>
    <w:p>
      <w:pPr>
        <w:pStyle w:val="null3"/>
        <w:ind w:firstLine="480"/>
        <w:jc w:val="left"/>
      </w:pPr>
      <w:r>
        <w:rPr>
          <w:rFonts w:ascii="仿宋_GB2312" w:hAnsi="仿宋_GB2312" w:cs="仿宋_GB2312" w:eastAsia="仿宋_GB2312"/>
        </w:rPr>
        <w:t>一、评审过程中，询价小组认为询价通知书有关事项表述不明确或需要说明的，可以要求采购人或者代理机构书面解释。采购人或者代理机构的解释不得改变询价通知书的原义或者影响公平、公正。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询价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三、响应文件报价出现前后不一致的，除询价通知书另有规定外，按照下列规定修正：</w:t>
      </w:r>
    </w:p>
    <w:p>
      <w:pPr>
        <w:pStyle w:val="null3"/>
        <w:ind w:firstLine="480"/>
        <w:jc w:val="left"/>
      </w:pPr>
      <w:r>
        <w:rPr>
          <w:rFonts w:ascii="仿宋_GB2312" w:hAnsi="仿宋_GB2312" w:cs="仿宋_GB2312" w:eastAsia="仿宋_GB2312"/>
        </w:rPr>
        <w:t>（一）响应文件中报价表内容与响应文件中相应内容不一致的，以报价表为准；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同时出现两种以上不一致的，按照前款规定的顺序修正。修正后的报价经供应商确认后产生约束力，供应商不确认的，作无效响应处理。</w:t>
      </w:r>
    </w:p>
    <w:p>
      <w:pPr>
        <w:pStyle w:val="null3"/>
        <w:ind w:firstLine="480"/>
        <w:jc w:val="left"/>
      </w:pPr>
      <w:r>
        <w:rPr>
          <w:rFonts w:ascii="仿宋_GB2312" w:hAnsi="仿宋_GB2312" w:cs="仿宋_GB2312" w:eastAsia="仿宋_GB2312"/>
        </w:rPr>
        <w:t>四、代理机构宣布评审结束之前，供应商应通过交易系统随时关注评审消息提示，及时响应询价小组发出的澄清、说明或者更正要求。供应商未能及时响应的，自行承担不利后果。</w:t>
      </w:r>
    </w:p>
    <w:p>
      <w:pPr>
        <w:pStyle w:val="null3"/>
        <w:ind w:firstLine="480"/>
        <w:jc w:val="left"/>
      </w:pPr>
      <w:r>
        <w:rPr>
          <w:rFonts w:ascii="仿宋_GB2312" w:hAnsi="仿宋_GB2312" w:cs="仿宋_GB2312" w:eastAsia="仿宋_GB2312"/>
        </w:rPr>
        <w:t>五、询价小组应当积极履行澄清、说明或者更正的职责，不得滥用权力。供应商的响应文件可以要求澄清、说明或者更正的，不得未经澄清、说明或者更正而直接作无效响应处理。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4.3.6.询价小组复核</w:t>
      </w:r>
    </w:p>
    <w:p>
      <w:pPr>
        <w:pStyle w:val="null3"/>
        <w:ind w:firstLine="480"/>
        <w:jc w:val="left"/>
      </w:pPr>
      <w:r>
        <w:rPr>
          <w:rFonts w:ascii="仿宋_GB2312" w:hAnsi="仿宋_GB2312" w:cs="仿宋_GB2312" w:eastAsia="仿宋_GB2312"/>
        </w:rPr>
        <w:t>评审结束后，询价小组应当进行复核，特别要对拟推荐为成交候选供应商的、报价最低的、响应文件被认定为无效的进行重点复核。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4.3.7.代理机构现场复核评审结果</w:t>
      </w:r>
    </w:p>
    <w:p>
      <w:pPr>
        <w:pStyle w:val="null3"/>
        <w:ind w:firstLine="480"/>
        <w:jc w:val="left"/>
      </w:pPr>
      <w:r>
        <w:rPr>
          <w:rFonts w:ascii="仿宋_GB2312" w:hAnsi="仿宋_GB2312" w:cs="仿宋_GB2312" w:eastAsia="仿宋_GB2312"/>
        </w:rPr>
        <w:t>一、询价小组拟出具询价报告前，代理机构应当组织2名以上的本单位工作人员，在采购现场监督人员的监督之下，依据有关的法律制度和询价通知书对评审结果进行复核，出具复核报告。存在资格审查认定错误的，代理机构应当根据情况书面建议询价小组现场修改评审结果或者重新评审，由询价小组自主决定是否采纳代理机构的书面建议，并承担独立评审责任。</w:t>
      </w:r>
    </w:p>
    <w:p>
      <w:pPr>
        <w:pStyle w:val="null3"/>
        <w:ind w:firstLine="480"/>
        <w:jc w:val="left"/>
      </w:pPr>
      <w:r>
        <w:rPr>
          <w:rFonts w:ascii="仿宋_GB2312" w:hAnsi="仿宋_GB2312" w:cs="仿宋_GB2312" w:eastAsia="仿宋_GB2312"/>
        </w:rPr>
        <w:t>二、询价小组采纳代理机构书面建议的，应当按照规定现场通过交易系统修改评审结果或者重新评审，并在询价报告中详细记载有关事宜；不采纳代理机构书面建议的，应当书面说明理由。代理机构书面建议未被询价小组采纳的，应当按照规定程序要求继续组织实施采购活动，不得擅自中止采购活动。代理机构认为询价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三、代理机构复核过程中，询价小组成员不得离开评审现场。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询价小组未按照询价通知书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4.3.8.推荐成交候选供应商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响应报价从低到高顺序排列，响应文件满足询价通知书全部实质性要求且响应报价最低的供应商为排名第一的成交候选供应商。响应报价相同的，按供应商提供的经评审认定有效的优先采购产品认证证书数量由多到少顺序排列；响应报价且提供的经评审认定有效的优先采购产品认证证书数量相同的并列。供应商响应的产品同时具有节能产品认证证书、环境标志产品认证证书的，按认定有效的节能产品认证证书、环境标志产品认证证书数量累计计算。成交供应商并列的，由询价小组根据询价通知书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响应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询价小组按照随机抽取方式确定一名供应商参加评审，其他作无效响应处理。</w:t>
      </w:r>
    </w:p>
    <w:p>
      <w:pPr>
        <w:pStyle w:val="null3"/>
        <w:jc w:val="left"/>
        <w:outlineLvl w:val="3"/>
      </w:pPr>
      <w:r>
        <w:rPr>
          <w:rFonts w:ascii="仿宋_GB2312" w:hAnsi="仿宋_GB2312" w:cs="仿宋_GB2312" w:eastAsia="仿宋_GB2312"/>
          <w:sz w:val="24"/>
          <w:b/>
        </w:rPr>
        <w:t>4.3.9.出具询价报告</w:t>
      </w:r>
    </w:p>
    <w:p>
      <w:pPr>
        <w:pStyle w:val="null3"/>
        <w:ind w:firstLine="480"/>
        <w:jc w:val="left"/>
      </w:pPr>
      <w:r>
        <w:rPr>
          <w:rFonts w:ascii="仿宋_GB2312" w:hAnsi="仿宋_GB2312" w:cs="仿宋_GB2312" w:eastAsia="仿宋_GB2312"/>
        </w:rPr>
        <w:t>询价小组推荐成交候选供应商后，应向代理机构出具询价报告。询价报告应当包括以下主要内容：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二、响应文件开启日期和地点，询价小组成员名单；</w:t>
      </w:r>
    </w:p>
    <w:p>
      <w:pPr>
        <w:pStyle w:val="null3"/>
        <w:ind w:firstLine="480"/>
        <w:jc w:val="left"/>
      </w:pPr>
      <w:r>
        <w:rPr>
          <w:rFonts w:ascii="仿宋_GB2312" w:hAnsi="仿宋_GB2312" w:cs="仿宋_GB2312" w:eastAsia="仿宋_GB2312"/>
        </w:rPr>
        <w:t>三、提交报价的供应商名单及报价情况，获取询价通知书但未提交报价的供应商名单；</w:t>
      </w:r>
    </w:p>
    <w:p>
      <w:pPr>
        <w:pStyle w:val="null3"/>
        <w:ind w:firstLine="480"/>
        <w:jc w:val="left"/>
      </w:pPr>
      <w:r>
        <w:rPr>
          <w:rFonts w:ascii="仿宋_GB2312" w:hAnsi="仿宋_GB2312" w:cs="仿宋_GB2312" w:eastAsia="仿宋_GB2312"/>
        </w:rPr>
        <w:t>四、评审情况记录和说明，包括对供应商的资格审查情况、供应商响应文件评审情况、询价采购活动情况、报价情况等；</w:t>
      </w:r>
    </w:p>
    <w:p>
      <w:pPr>
        <w:pStyle w:val="null3"/>
        <w:ind w:firstLine="480"/>
        <w:jc w:val="left"/>
      </w:pPr>
      <w:r>
        <w:rPr>
          <w:rFonts w:ascii="仿宋_GB2312" w:hAnsi="仿宋_GB2312" w:cs="仿宋_GB2312" w:eastAsia="仿宋_GB2312"/>
        </w:rPr>
        <w:t>五、推荐的成交候选供应商的排序名单及理由。</w:t>
      </w:r>
    </w:p>
    <w:p>
      <w:pPr>
        <w:pStyle w:val="null3"/>
        <w:ind w:firstLine="480"/>
        <w:jc w:val="left"/>
      </w:pPr>
      <w:r>
        <w:rPr>
          <w:rFonts w:ascii="仿宋_GB2312" w:hAnsi="仿宋_GB2312" w:cs="仿宋_GB2312" w:eastAsia="仿宋_GB2312"/>
        </w:rPr>
        <w:t>询价报告应当由询价小组全体人员签字或加盖电子印章认可。询价小组成员对询价报告有异议的，询价小组按照少数服从多数的原则推荐成交候选供应商，采购程序继续进行。对询价报告有异议的询价小组成员，应当在报告上签署不同意见并说明理由，由询价小组记录相关情况。询价小组成员拒绝在询价报告上签字或加盖电子印章又不说明其不同意见和理由的，视为同意询价报告。</w:t>
      </w:r>
    </w:p>
    <w:p>
      <w:pPr>
        <w:pStyle w:val="null3"/>
        <w:jc w:val="left"/>
        <w:outlineLvl w:val="3"/>
      </w:pPr>
      <w:r>
        <w:rPr>
          <w:rFonts w:ascii="仿宋_GB2312" w:hAnsi="仿宋_GB2312" w:cs="仿宋_GB2312" w:eastAsia="仿宋_GB2312"/>
          <w:sz w:val="24"/>
          <w:b/>
        </w:rPr>
        <w:t>4.3.10.询价争议处理规则</w:t>
      </w:r>
    </w:p>
    <w:p>
      <w:pPr>
        <w:pStyle w:val="null3"/>
        <w:ind w:firstLine="480"/>
        <w:jc w:val="left"/>
      </w:pPr>
      <w:r>
        <w:rPr>
          <w:rFonts w:ascii="仿宋_GB2312" w:hAnsi="仿宋_GB2312" w:cs="仿宋_GB2312" w:eastAsia="仿宋_GB2312"/>
        </w:rPr>
        <w:t>询价小组在询价过程中，对于资格审查、符合性审查、对供应商响应文件作无效处理及其他需要共同认定的事项存在争议的，应当以少数服从多数的原则作出结论，但不得违反法律法规和询价通知书规定。对询价报告有异议的，应当在询价报告上签署不同意见并说明理由，否则视为同意询价报告。持不同意见的询价小组成员认为认定过程和结果不符合法律法规或者询价通知书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4.4.评审方法、细则及标准</w:t>
      </w:r>
    </w:p>
    <w:p>
      <w:pPr>
        <w:pStyle w:val="null3"/>
        <w:jc w:val="left"/>
      </w:pPr>
      <w:r>
        <w:rPr>
          <w:rFonts w:ascii="仿宋_GB2312" w:hAnsi="仿宋_GB2312" w:cs="仿宋_GB2312" w:eastAsia="仿宋_GB2312"/>
          <w:b/>
        </w:rPr>
        <w:t>4.4.1.评审方法</w:t>
      </w:r>
    </w:p>
    <w:p>
      <w:pPr>
        <w:pStyle w:val="null3"/>
        <w:ind w:firstLine="480"/>
        <w:jc w:val="left"/>
      </w:pPr>
      <w:r>
        <w:rPr>
          <w:rFonts w:ascii="仿宋_GB2312" w:hAnsi="仿宋_GB2312" w:cs="仿宋_GB2312" w:eastAsia="仿宋_GB2312"/>
        </w:rPr>
        <w:t>最低评标价法，是指响应文件满足询价通知书全部实质性要求且响应报价最低的供应商为成交候选供应商的评审方法。</w:t>
      </w:r>
    </w:p>
    <w:p>
      <w:pPr>
        <w:pStyle w:val="null3"/>
        <w:jc w:val="left"/>
      </w:pPr>
      <w:r>
        <w:rPr>
          <w:rFonts w:ascii="仿宋_GB2312" w:hAnsi="仿宋_GB2312" w:cs="仿宋_GB2312" w:eastAsia="仿宋_GB2312"/>
          <w:b/>
        </w:rPr>
        <w:t>4.4.2.评审细则及标准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经价格调整后的评审价格=响应报价×（1-价格调整比例）基准价=经价格调整后评审价格的最低值。</w:t>
            </w:r>
          </w:p>
        </w:tc>
        <w:tc>
          <w:tcPr>
            <w:tcW w:type="dxa" w:w="2123"/>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优先采购环境标志产品</w:t>
            </w:r>
          </w:p>
        </w:tc>
        <w:tc>
          <w:tcPr>
            <w:tcW w:type="dxa" w:w="2396"/>
          </w:tcPr>
          <w:p>
            <w:pPr>
              <w:pStyle w:val="null3"/>
              <w:jc w:val="left"/>
            </w:pPr>
            <w:r>
              <w:rPr>
                <w:rFonts w:ascii="仿宋_GB2312" w:hAnsi="仿宋_GB2312" w:cs="仿宋_GB2312" w:eastAsia="仿宋_GB2312"/>
              </w:rPr>
              <w:t>根据供应商响应的优先采购的环境标志产品，确定具有环境标志产品认证证书的数量，合并计入优先采购产品认证证书数量。说明：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供应商认为应该提交的其他资料（若有）.docx,供应商应提交的相关证明材料</w:t>
            </w:r>
          </w:p>
        </w:tc>
      </w:tr>
    </w:tbl>
    <w:p>
      <w:pPr>
        <w:pStyle w:val="null3"/>
        <w:jc w:val="left"/>
        <w:outlineLvl w:val="2"/>
      </w:pPr>
      <w:r>
        <w:rPr>
          <w:rFonts w:ascii="仿宋_GB2312" w:hAnsi="仿宋_GB2312" w:cs="仿宋_GB2312" w:eastAsia="仿宋_GB2312"/>
          <w:sz w:val="28"/>
          <w:b/>
        </w:rPr>
        <w:t>4.5.终止采购活动</w:t>
      </w:r>
    </w:p>
    <w:p>
      <w:pPr>
        <w:pStyle w:val="null3"/>
        <w:ind w:firstLine="480"/>
        <w:jc w:val="left"/>
      </w:pPr>
      <w:r>
        <w:rPr>
          <w:rFonts w:ascii="仿宋_GB2312" w:hAnsi="仿宋_GB2312" w:cs="仿宋_GB2312" w:eastAsia="仿宋_GB2312"/>
        </w:rPr>
        <w:t>出现下列情形之一的，采购人或者代理机构应当终止询价采购活动，发布项目终止公告并说明原因，重新开展采购活动：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一、因情况变化，不再符合规定的询价采购方式适用情形的；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w:t>
      </w:r>
    </w:p>
    <w:p>
      <w:pPr>
        <w:pStyle w:val="null3"/>
        <w:jc w:val="left"/>
        <w:outlineLvl w:val="2"/>
      </w:pPr>
      <w:r>
        <w:rPr>
          <w:rFonts w:ascii="仿宋_GB2312" w:hAnsi="仿宋_GB2312" w:cs="仿宋_GB2312" w:eastAsia="仿宋_GB2312"/>
          <w:sz w:val="28"/>
          <w:b/>
        </w:rPr>
        <w:t>4.6.确定成交供应商</w:t>
      </w:r>
    </w:p>
    <w:p>
      <w:pPr>
        <w:pStyle w:val="null3"/>
        <w:ind w:firstLine="480"/>
        <w:jc w:val="left"/>
      </w:pPr>
      <w:r>
        <w:rPr>
          <w:rFonts w:ascii="仿宋_GB2312" w:hAnsi="仿宋_GB2312" w:cs="仿宋_GB2312" w:eastAsia="仿宋_GB2312"/>
        </w:rPr>
        <w:t>一、代理机构在询价结束后2个工作日内将询价报告送采购人。</w:t>
      </w:r>
    </w:p>
    <w:p>
      <w:pPr>
        <w:pStyle w:val="null3"/>
        <w:jc w:val="left"/>
      </w:pPr>
      <w:r>
        <w:rPr>
          <w:rFonts w:ascii="仿宋_GB2312" w:hAnsi="仿宋_GB2312" w:cs="仿宋_GB2312" w:eastAsia="仿宋_GB2312"/>
        </w:rPr>
        <w:t>二、采购人应当自收到评审报告之日起5个工作日内，在询价报告确定的成交候选供应商名单中按顺序确定1名成交供应商。采购人逾期未确定成交供应商且不提出异议的，视为确定询价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个工作日内，在四川政府采购网公告成交结果，询价通知书应当随成交结果同时公告。</w:t>
      </w:r>
    </w:p>
    <w:p>
      <w:pPr>
        <w:pStyle w:val="null3"/>
        <w:jc w:val="left"/>
        <w:outlineLvl w:val="2"/>
      </w:pPr>
      <w:r>
        <w:rPr>
          <w:rFonts w:ascii="仿宋_GB2312" w:hAnsi="仿宋_GB2312" w:cs="仿宋_GB2312" w:eastAsia="仿宋_GB2312"/>
          <w:sz w:val="28"/>
          <w:b/>
        </w:rPr>
        <w:t>4.7.询价小组义务</w:t>
      </w:r>
    </w:p>
    <w:p>
      <w:pPr>
        <w:pStyle w:val="null3"/>
        <w:ind w:firstLine="480"/>
        <w:jc w:val="left"/>
      </w:pPr>
      <w:r>
        <w:rPr>
          <w:rFonts w:ascii="仿宋_GB2312" w:hAnsi="仿宋_GB2312" w:cs="仿宋_GB2312" w:eastAsia="仿宋_GB2312"/>
        </w:rPr>
        <w:t>询价小组在政府采购活动中应当履行下列义务：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二、按照客观、公正、审慎的原则，根据询价通知书规定的评审程序、评审方法和评审标准进行独立评审；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五、发现询价通知书内容违反国家有关强制性规定或者存在歧义、重大缺陷导致评审工作无法进行时，停止评审并通过交易系统向代理机构书面说明情况，说明停止评审的情形和具体理由；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4.8.询价小组成员工作纪律</w:t>
      </w:r>
    </w:p>
    <w:p>
      <w:pPr>
        <w:pStyle w:val="null3"/>
        <w:ind w:firstLine="480"/>
        <w:jc w:val="left"/>
      </w:pPr>
      <w:r>
        <w:rPr>
          <w:rFonts w:ascii="仿宋_GB2312" w:hAnsi="仿宋_GB2312" w:cs="仿宋_GB2312" w:eastAsia="仿宋_GB2312"/>
        </w:rPr>
        <w:t>询价小组成员在政府采购活动中应当遵守下列工作纪律：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一、严格遵守政府采购法律制度关于询价小组成员回避的规定。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询价通知书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详见附件：供应商认为应该提交的其他资料（若有）.docx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拟签订的合同文本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