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24AED">
      <w:pPr>
        <w:tabs>
          <w:tab w:val="left" w:pos="7584"/>
          <w:tab w:val="left" w:pos="8532"/>
        </w:tabs>
        <w:topLinePunct/>
        <w:spacing w:line="240" w:lineRule="auto"/>
        <w:jc w:val="center"/>
        <w:outlineLvl w:val="0"/>
        <w:rPr>
          <w:rFonts w:hint="eastAsia" w:ascii="宋体" w:hAnsi="宋体" w:eastAsia="宋体" w:cs="宋体"/>
        </w:rPr>
      </w:pPr>
      <w:r>
        <w:rPr>
          <w:rFonts w:hint="eastAsia" w:ascii="宋体" w:hAnsi="宋体" w:eastAsia="宋体" w:cs="宋体"/>
        </w:rPr>
        <w:t>政府采购合同</w:t>
      </w:r>
    </w:p>
    <w:p w14:paraId="44D3C2FF">
      <w:pPr>
        <w:pStyle w:val="2"/>
        <w:spacing w:line="240" w:lineRule="auto"/>
        <w:rPr>
          <w:rFonts w:hint="eastAsia" w:ascii="宋体" w:hAnsi="宋体" w:eastAsia="宋体" w:cs="宋体"/>
          <w:sz w:val="28"/>
          <w:szCs w:val="28"/>
        </w:rPr>
      </w:pPr>
      <w:r>
        <w:rPr>
          <w:rFonts w:hint="eastAsia" w:ascii="宋体" w:hAnsi="宋体" w:eastAsia="宋体" w:cs="宋体"/>
          <w:sz w:val="28"/>
          <w:szCs w:val="28"/>
        </w:rPr>
        <w:t xml:space="preserve">合同编号：                                         </w:t>
      </w:r>
    </w:p>
    <w:p w14:paraId="74519009">
      <w:pPr>
        <w:pStyle w:val="2"/>
        <w:spacing w:line="240" w:lineRule="auto"/>
        <w:rPr>
          <w:rFonts w:hint="eastAsia" w:ascii="宋体" w:hAnsi="宋体" w:eastAsia="宋体" w:cs="宋体"/>
          <w:sz w:val="28"/>
          <w:szCs w:val="28"/>
        </w:rPr>
      </w:pPr>
      <w:r>
        <w:rPr>
          <w:rFonts w:hint="eastAsia" w:ascii="宋体" w:hAnsi="宋体" w:eastAsia="宋体" w:cs="宋体"/>
          <w:sz w:val="28"/>
          <w:szCs w:val="28"/>
        </w:rPr>
        <w:t xml:space="preserve">签订地点：                                         </w:t>
      </w:r>
    </w:p>
    <w:p w14:paraId="5AB5BEF0">
      <w:pPr>
        <w:pStyle w:val="2"/>
        <w:spacing w:line="240" w:lineRule="auto"/>
        <w:rPr>
          <w:rFonts w:hint="eastAsia" w:ascii="宋体" w:hAnsi="宋体" w:eastAsia="宋体" w:cs="宋体"/>
          <w:sz w:val="28"/>
          <w:szCs w:val="28"/>
        </w:rPr>
      </w:pPr>
      <w:r>
        <w:rPr>
          <w:rFonts w:hint="eastAsia" w:ascii="宋体" w:hAnsi="宋体" w:eastAsia="宋体" w:cs="宋体"/>
          <w:sz w:val="28"/>
          <w:szCs w:val="28"/>
        </w:rPr>
        <w:t xml:space="preserve">签订时间：                                         </w:t>
      </w:r>
    </w:p>
    <w:p w14:paraId="23CFEC06">
      <w:pPr>
        <w:pStyle w:val="2"/>
        <w:spacing w:line="240" w:lineRule="auto"/>
        <w:rPr>
          <w:rFonts w:hint="eastAsia" w:ascii="宋体" w:hAnsi="宋体" w:eastAsia="宋体" w:cs="宋体"/>
          <w:sz w:val="28"/>
          <w:szCs w:val="28"/>
        </w:rPr>
      </w:pPr>
      <w:r>
        <w:rPr>
          <w:rFonts w:hint="eastAsia" w:ascii="宋体" w:hAnsi="宋体" w:eastAsia="宋体" w:cs="宋体"/>
          <w:sz w:val="28"/>
          <w:szCs w:val="28"/>
          <w:lang w:eastAsia="zh-CN"/>
        </w:rPr>
        <w:t>甲方</w:t>
      </w:r>
      <w:r>
        <w:rPr>
          <w:rFonts w:hint="eastAsia" w:ascii="宋体" w:hAnsi="宋体" w:eastAsia="宋体" w:cs="宋体"/>
          <w:sz w:val="28"/>
          <w:szCs w:val="28"/>
        </w:rPr>
        <w:t xml:space="preserve">： </w:t>
      </w:r>
    </w:p>
    <w:p w14:paraId="1A8B194E">
      <w:pPr>
        <w:pStyle w:val="2"/>
        <w:spacing w:line="240" w:lineRule="auto"/>
        <w:rPr>
          <w:rFonts w:hint="eastAsia" w:ascii="宋体" w:hAnsi="宋体" w:eastAsia="宋体" w:cs="宋体"/>
          <w:sz w:val="28"/>
          <w:szCs w:val="28"/>
        </w:rPr>
      </w:pPr>
      <w:r>
        <w:rPr>
          <w:rFonts w:hint="eastAsia" w:ascii="宋体" w:hAnsi="宋体" w:eastAsia="宋体" w:cs="宋体"/>
          <w:sz w:val="28"/>
          <w:szCs w:val="28"/>
          <w:lang w:eastAsia="zh-CN"/>
        </w:rPr>
        <w:t>乙方</w:t>
      </w:r>
      <w:r>
        <w:rPr>
          <w:rFonts w:hint="eastAsia" w:ascii="宋体" w:hAnsi="宋体" w:eastAsia="宋体" w:cs="宋体"/>
          <w:sz w:val="28"/>
          <w:szCs w:val="28"/>
        </w:rPr>
        <w:t xml:space="preserve">： </w:t>
      </w:r>
    </w:p>
    <w:p w14:paraId="54819A7D">
      <w:pPr>
        <w:pStyle w:val="2"/>
        <w:spacing w:line="240" w:lineRule="auto"/>
        <w:rPr>
          <w:rFonts w:hint="eastAsia" w:ascii="宋体" w:hAnsi="宋体" w:eastAsia="宋体" w:cs="宋体"/>
          <w:sz w:val="28"/>
          <w:szCs w:val="28"/>
        </w:rPr>
      </w:pPr>
      <w:r>
        <w:rPr>
          <w:rFonts w:hint="eastAsia" w:ascii="宋体" w:hAnsi="宋体" w:eastAsia="宋体" w:cs="宋体"/>
          <w:sz w:val="28"/>
          <w:szCs w:val="28"/>
        </w:rPr>
        <w:t xml:space="preserve">                                         </w:t>
      </w:r>
    </w:p>
    <w:p w14:paraId="3055E9E1">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根据《中华人民共和国政府采购法》、《中华人民共和国民法典》及</w:t>
      </w:r>
      <w:r>
        <w:rPr>
          <w:rFonts w:hint="eastAsia" w:ascii="宋体" w:hAnsi="宋体" w:cs="宋体"/>
          <w:sz w:val="28"/>
          <w:szCs w:val="28"/>
          <w:u w:val="single"/>
          <w:lang w:eastAsia="zh-CN"/>
        </w:rPr>
        <w:t>若尔盖县2025年辖曼镇文戈村集体经济产业配套项目</w:t>
      </w:r>
      <w:r>
        <w:rPr>
          <w:rFonts w:hint="eastAsia" w:ascii="宋体" w:hAnsi="宋体" w:eastAsia="宋体" w:cs="宋体"/>
          <w:sz w:val="28"/>
          <w:szCs w:val="28"/>
        </w:rPr>
        <w:t>（项目编号：XXX号）的《</w:t>
      </w:r>
      <w:r>
        <w:rPr>
          <w:rFonts w:hint="eastAsia" w:ascii="宋体" w:hAnsi="宋体" w:cs="宋体"/>
          <w:sz w:val="28"/>
          <w:szCs w:val="28"/>
          <w:lang w:eastAsia="zh-CN"/>
        </w:rPr>
        <w:t>招标文件</w:t>
      </w:r>
      <w:r>
        <w:rPr>
          <w:rFonts w:hint="eastAsia" w:ascii="宋体" w:hAnsi="宋体" w:eastAsia="宋体" w:cs="宋体"/>
          <w:sz w:val="28"/>
          <w:szCs w:val="28"/>
        </w:rPr>
        <w:t>》、乙方的《</w:t>
      </w:r>
      <w:r>
        <w:rPr>
          <w:rFonts w:hint="eastAsia" w:ascii="宋体" w:hAnsi="宋体" w:cs="宋体"/>
          <w:sz w:val="28"/>
          <w:szCs w:val="28"/>
          <w:lang w:eastAsia="zh-CN"/>
        </w:rPr>
        <w:t>投标文件</w:t>
      </w:r>
      <w:r>
        <w:rPr>
          <w:rFonts w:hint="eastAsia" w:ascii="宋体" w:hAnsi="宋体" w:eastAsia="宋体" w:cs="宋体"/>
          <w:sz w:val="28"/>
          <w:szCs w:val="28"/>
        </w:rPr>
        <w:t>》及《</w:t>
      </w:r>
      <w:r>
        <w:rPr>
          <w:rFonts w:hint="eastAsia" w:ascii="宋体" w:hAnsi="宋体" w:cs="宋体"/>
          <w:sz w:val="28"/>
          <w:szCs w:val="28"/>
          <w:lang w:eastAsia="zh-CN"/>
        </w:rPr>
        <w:t>中标通知书</w:t>
      </w:r>
      <w:r>
        <w:rPr>
          <w:rFonts w:hint="eastAsia" w:ascii="宋体" w:hAnsi="宋体" w:eastAsia="宋体" w:cs="宋体"/>
          <w:sz w:val="28"/>
          <w:szCs w:val="28"/>
        </w:rPr>
        <w:t>》，甲、乙双方同意签订本合同。详细技术说明及其他有关合同项目的特定信息由合同附件予以说明，合同附件及本项目的</w:t>
      </w:r>
      <w:r>
        <w:rPr>
          <w:rFonts w:hint="eastAsia" w:ascii="宋体" w:hAnsi="宋体" w:cs="宋体"/>
          <w:sz w:val="28"/>
          <w:szCs w:val="28"/>
          <w:lang w:eastAsia="zh-CN"/>
        </w:rPr>
        <w:t>招标文件</w:t>
      </w:r>
      <w:r>
        <w:rPr>
          <w:rFonts w:hint="eastAsia" w:ascii="宋体" w:hAnsi="宋体" w:eastAsia="宋体" w:cs="宋体"/>
          <w:sz w:val="28"/>
          <w:szCs w:val="28"/>
        </w:rPr>
        <w:t>、</w:t>
      </w:r>
      <w:r>
        <w:rPr>
          <w:rFonts w:hint="eastAsia" w:ascii="宋体" w:hAnsi="宋体" w:cs="宋体"/>
          <w:sz w:val="28"/>
          <w:szCs w:val="28"/>
          <w:lang w:eastAsia="zh-CN"/>
        </w:rPr>
        <w:t>投标文件</w:t>
      </w:r>
      <w:r>
        <w:rPr>
          <w:rFonts w:hint="eastAsia" w:ascii="宋体" w:hAnsi="宋体" w:eastAsia="宋体" w:cs="宋体"/>
          <w:sz w:val="28"/>
          <w:szCs w:val="28"/>
        </w:rPr>
        <w:t>、《</w:t>
      </w:r>
      <w:r>
        <w:rPr>
          <w:rFonts w:hint="eastAsia" w:ascii="宋体" w:hAnsi="宋体" w:cs="宋体"/>
          <w:sz w:val="28"/>
          <w:szCs w:val="28"/>
          <w:lang w:eastAsia="zh-CN"/>
        </w:rPr>
        <w:t>中标通知书</w:t>
      </w:r>
      <w:r>
        <w:rPr>
          <w:rFonts w:hint="eastAsia" w:ascii="宋体" w:hAnsi="宋体" w:eastAsia="宋体" w:cs="宋体"/>
          <w:sz w:val="28"/>
          <w:szCs w:val="28"/>
        </w:rPr>
        <w:t>》等均为本合同不可分割的部分。双方同意共同遵守如下条款：</w:t>
      </w:r>
      <w:bookmarkStart w:id="0" w:name="_Toc217446107"/>
      <w:bookmarkStart w:id="1" w:name="_Toc9974"/>
    </w:p>
    <w:p w14:paraId="7B818B46">
      <w:pPr>
        <w:pStyle w:val="2"/>
        <w:numPr>
          <w:ilvl w:val="0"/>
          <w:numId w:val="1"/>
        </w:numPr>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合同货物</w:t>
      </w:r>
      <w:bookmarkEnd w:id="0"/>
      <w:bookmarkEnd w:id="1"/>
      <w:bookmarkStart w:id="2" w:name="_Toc13402"/>
      <w:bookmarkStart w:id="3" w:name="_Toc217446108"/>
    </w:p>
    <w:p w14:paraId="34661A7B">
      <w:pPr>
        <w:pStyle w:val="2"/>
        <w:numPr>
          <w:ilvl w:val="0"/>
          <w:numId w:val="0"/>
        </w:numPr>
        <w:spacing w:line="240" w:lineRule="auto"/>
        <w:ind w:firstLine="280" w:firstLineChars="100"/>
        <w:rPr>
          <w:rFonts w:hint="eastAsia" w:ascii="宋体" w:hAnsi="宋体" w:eastAsia="宋体" w:cs="宋体"/>
          <w:sz w:val="28"/>
          <w:szCs w:val="28"/>
          <w:lang w:eastAsia="zh-CN"/>
        </w:rPr>
      </w:pPr>
      <w:r>
        <w:rPr>
          <w:rFonts w:hint="eastAsia" w:ascii="宋体" w:hAnsi="宋体" w:cs="宋体"/>
          <w:sz w:val="28"/>
          <w:szCs w:val="28"/>
          <w:lang w:eastAsia="zh-CN"/>
        </w:rPr>
        <w:t>（一）采购清单</w:t>
      </w:r>
    </w:p>
    <w:tbl>
      <w:tblPr>
        <w:tblStyle w:val="4"/>
        <w:tblW w:w="87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5"/>
        <w:gridCol w:w="1464"/>
        <w:gridCol w:w="754"/>
        <w:gridCol w:w="754"/>
        <w:gridCol w:w="876"/>
        <w:gridCol w:w="1107"/>
        <w:gridCol w:w="1035"/>
        <w:gridCol w:w="1264"/>
        <w:gridCol w:w="806"/>
      </w:tblGrid>
      <w:tr w14:paraId="55FF0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2" w:hRule="atLeast"/>
        </w:trPr>
        <w:tc>
          <w:tcPr>
            <w:tcW w:w="695" w:type="dxa"/>
            <w:tcBorders>
              <w:top w:val="single" w:color="000000" w:sz="4" w:space="0"/>
              <w:left w:val="single" w:color="000000" w:sz="4" w:space="0"/>
              <w:bottom w:val="single" w:color="000000" w:sz="4" w:space="0"/>
              <w:right w:val="single" w:color="000000" w:sz="4" w:space="0"/>
            </w:tcBorders>
            <w:noWrap/>
            <w:vAlign w:val="center"/>
          </w:tcPr>
          <w:p w14:paraId="398557D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序号</w:t>
            </w:r>
          </w:p>
        </w:tc>
        <w:tc>
          <w:tcPr>
            <w:tcW w:w="1464" w:type="dxa"/>
            <w:tcBorders>
              <w:top w:val="single" w:color="000000" w:sz="4" w:space="0"/>
              <w:left w:val="nil"/>
              <w:bottom w:val="single" w:color="000000" w:sz="4" w:space="0"/>
              <w:right w:val="single" w:color="000000" w:sz="4" w:space="0"/>
            </w:tcBorders>
            <w:noWrap/>
            <w:vAlign w:val="center"/>
          </w:tcPr>
          <w:p w14:paraId="48A7D53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标的名称</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1ADDB0C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规格型号</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19AB372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数量</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9872A2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单位</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4DA4D7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单价</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1758169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小计</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179B10B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随机配件</w:t>
            </w:r>
          </w:p>
        </w:tc>
        <w:tc>
          <w:tcPr>
            <w:tcW w:w="806" w:type="dxa"/>
            <w:tcBorders>
              <w:top w:val="single" w:color="000000" w:sz="4" w:space="0"/>
              <w:left w:val="single" w:color="000000" w:sz="4" w:space="0"/>
              <w:bottom w:val="single" w:color="000000" w:sz="4" w:space="0"/>
              <w:right w:val="single" w:color="000000" w:sz="4" w:space="0"/>
            </w:tcBorders>
            <w:noWrap/>
            <w:vAlign w:val="center"/>
          </w:tcPr>
          <w:p w14:paraId="4988A81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备注</w:t>
            </w:r>
          </w:p>
        </w:tc>
      </w:tr>
      <w:tr w14:paraId="7DCD3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695" w:type="dxa"/>
            <w:tcBorders>
              <w:top w:val="single" w:color="000000" w:sz="4" w:space="0"/>
              <w:left w:val="single" w:color="000000" w:sz="4" w:space="0"/>
              <w:bottom w:val="single" w:color="000000" w:sz="4" w:space="0"/>
              <w:right w:val="single" w:color="000000" w:sz="4" w:space="0"/>
            </w:tcBorders>
            <w:noWrap/>
            <w:vAlign w:val="center"/>
          </w:tcPr>
          <w:p w14:paraId="1A01F60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464" w:type="dxa"/>
            <w:tcBorders>
              <w:top w:val="single" w:color="000000" w:sz="4" w:space="0"/>
              <w:left w:val="nil"/>
              <w:bottom w:val="single" w:color="000000" w:sz="4" w:space="0"/>
              <w:right w:val="single" w:color="000000" w:sz="4" w:space="0"/>
            </w:tcBorders>
            <w:noWrap w:val="0"/>
            <w:vAlign w:val="center"/>
          </w:tcPr>
          <w:p w14:paraId="10BF865E">
            <w:pPr>
              <w:spacing w:line="240" w:lineRule="auto"/>
              <w:jc w:val="center"/>
              <w:rPr>
                <w:rFonts w:hint="default" w:ascii="宋体" w:hAnsi="宋体" w:eastAsia="宋体" w:cs="宋体"/>
                <w:i w:val="0"/>
                <w:iCs w:val="0"/>
                <w:color w:val="000000"/>
                <w:sz w:val="28"/>
                <w:szCs w:val="28"/>
                <w:u w:val="none"/>
                <w:lang w:val="en-US" w:eastAsia="zh-CN"/>
              </w:rPr>
            </w:pPr>
            <w:r>
              <w:rPr>
                <w:rFonts w:hint="eastAsia" w:ascii="宋体" w:hAnsi="宋体" w:eastAsia="宋体" w:cs="宋体"/>
                <w:i w:val="0"/>
                <w:iCs w:val="0"/>
                <w:color w:val="000000"/>
                <w:sz w:val="28"/>
                <w:szCs w:val="28"/>
                <w:u w:val="none"/>
                <w:lang w:val="en-US" w:eastAsia="zh-CN"/>
              </w:rPr>
              <w:t>...</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4B96D6A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8"/>
                <w:szCs w:val="28"/>
                <w:u w:val="none"/>
                <w:lang w:val="en-US" w:eastAsia="zh-CN" w:bidi="ar"/>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3DB8FE2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F05AA0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75E8F5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6CB022A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3FE6C83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8"/>
                <w:szCs w:val="28"/>
                <w:u w:val="none"/>
                <w:lang w:val="en-US" w:eastAsia="zh-CN" w:bidi="ar"/>
              </w:rPr>
            </w:pPr>
          </w:p>
        </w:tc>
        <w:tc>
          <w:tcPr>
            <w:tcW w:w="806" w:type="dxa"/>
            <w:tcBorders>
              <w:top w:val="single" w:color="000000" w:sz="4" w:space="0"/>
              <w:left w:val="single" w:color="000000" w:sz="4" w:space="0"/>
              <w:bottom w:val="single" w:color="000000" w:sz="4" w:space="0"/>
              <w:right w:val="single" w:color="000000" w:sz="4" w:space="0"/>
            </w:tcBorders>
            <w:noWrap/>
            <w:vAlign w:val="center"/>
          </w:tcPr>
          <w:p w14:paraId="52A2339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8"/>
                <w:szCs w:val="28"/>
                <w:u w:val="none"/>
                <w:lang w:val="en-US" w:eastAsia="zh-CN" w:bidi="ar"/>
              </w:rPr>
            </w:pPr>
          </w:p>
        </w:tc>
      </w:tr>
      <w:tr w14:paraId="1A12C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695" w:type="dxa"/>
            <w:tcBorders>
              <w:top w:val="single" w:color="000000" w:sz="4" w:space="0"/>
              <w:left w:val="single" w:color="000000" w:sz="4" w:space="0"/>
              <w:bottom w:val="single" w:color="000000" w:sz="4" w:space="0"/>
              <w:right w:val="single" w:color="000000" w:sz="4" w:space="0"/>
            </w:tcBorders>
            <w:noWrap/>
            <w:vAlign w:val="center"/>
          </w:tcPr>
          <w:p w14:paraId="49B87B1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464" w:type="dxa"/>
            <w:tcBorders>
              <w:top w:val="single" w:color="000000" w:sz="4" w:space="0"/>
              <w:left w:val="nil"/>
              <w:bottom w:val="single" w:color="000000" w:sz="4" w:space="0"/>
              <w:right w:val="single" w:color="000000" w:sz="4" w:space="0"/>
            </w:tcBorders>
            <w:noWrap w:val="0"/>
            <w:vAlign w:val="center"/>
          </w:tcPr>
          <w:p w14:paraId="2D984CD2">
            <w:pPr>
              <w:spacing w:line="240" w:lineRule="auto"/>
              <w:jc w:val="center"/>
              <w:rPr>
                <w:rFonts w:hint="eastAsia" w:ascii="宋体" w:hAnsi="宋体" w:eastAsia="宋体" w:cs="宋体"/>
                <w:i w:val="0"/>
                <w:iCs w:val="0"/>
                <w:color w:val="000000"/>
                <w:sz w:val="28"/>
                <w:szCs w:val="28"/>
                <w:u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14A0F06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8"/>
                <w:szCs w:val="28"/>
                <w:u w:val="none"/>
                <w:lang w:val="en-US" w:eastAsia="zh-CN" w:bidi="ar"/>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2589904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480D4AF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D53C05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0F6CA3E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8"/>
                <w:szCs w:val="28"/>
                <w:u w:val="none"/>
              </w:rPr>
            </w:pP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0E3251C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8"/>
                <w:szCs w:val="28"/>
                <w:u w:val="none"/>
                <w:lang w:val="en-US" w:eastAsia="zh-CN" w:bidi="ar"/>
              </w:rPr>
            </w:pPr>
          </w:p>
        </w:tc>
        <w:tc>
          <w:tcPr>
            <w:tcW w:w="806" w:type="dxa"/>
            <w:tcBorders>
              <w:top w:val="single" w:color="000000" w:sz="4" w:space="0"/>
              <w:left w:val="single" w:color="000000" w:sz="4" w:space="0"/>
              <w:bottom w:val="single" w:color="000000" w:sz="4" w:space="0"/>
              <w:right w:val="single" w:color="000000" w:sz="4" w:space="0"/>
            </w:tcBorders>
            <w:noWrap/>
            <w:vAlign w:val="center"/>
          </w:tcPr>
          <w:p w14:paraId="0CC8FCD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8"/>
                <w:szCs w:val="28"/>
                <w:u w:val="none"/>
                <w:lang w:val="en-US" w:eastAsia="zh-CN" w:bidi="ar"/>
              </w:rPr>
            </w:pPr>
          </w:p>
        </w:tc>
      </w:tr>
    </w:tbl>
    <w:p w14:paraId="7E7A8BAF">
      <w:pPr>
        <w:pStyle w:val="2"/>
        <w:spacing w:line="240" w:lineRule="auto"/>
        <w:ind w:firstLine="560" w:firstLineChars="200"/>
        <w:rPr>
          <w:rFonts w:hint="eastAsia" w:ascii="宋体" w:hAnsi="宋体" w:eastAsia="宋体" w:cs="宋体"/>
          <w:sz w:val="28"/>
          <w:szCs w:val="28"/>
          <w:lang w:eastAsia="zh-CN"/>
        </w:rPr>
      </w:pPr>
      <w:r>
        <w:rPr>
          <w:rFonts w:hint="eastAsia" w:ascii="宋体" w:hAnsi="宋体" w:cs="宋体"/>
          <w:sz w:val="28"/>
          <w:szCs w:val="28"/>
          <w:lang w:eastAsia="zh-CN"/>
        </w:rPr>
        <w:t>（二）技术、服务要求</w:t>
      </w:r>
    </w:p>
    <w:p w14:paraId="25C6515F">
      <w:pPr>
        <w:pStyle w:val="2"/>
        <w:spacing w:line="240" w:lineRule="auto"/>
        <w:ind w:firstLine="560" w:firstLineChars="200"/>
        <w:rPr>
          <w:rFonts w:hint="eastAsia" w:ascii="宋体" w:hAnsi="宋体" w:eastAsia="宋体" w:cs="宋体"/>
          <w:sz w:val="28"/>
          <w:szCs w:val="28"/>
          <w:lang w:eastAsia="zh-CN"/>
        </w:rPr>
      </w:pPr>
      <w:r>
        <w:rPr>
          <w:rFonts w:hint="eastAsia" w:ascii="宋体" w:hAnsi="宋体" w:cs="宋体"/>
          <w:sz w:val="28"/>
          <w:szCs w:val="28"/>
          <w:lang w:val="en-US" w:eastAsia="zh-CN"/>
        </w:rPr>
        <w:t>xxx,</w:t>
      </w:r>
      <w:r>
        <w:rPr>
          <w:rFonts w:hint="eastAsia" w:ascii="宋体" w:hAnsi="宋体" w:cs="宋体"/>
          <w:sz w:val="28"/>
          <w:szCs w:val="28"/>
          <w:lang w:eastAsia="zh-CN"/>
        </w:rPr>
        <w:t>以供应商投标文件响应为准。</w:t>
      </w:r>
    </w:p>
    <w:p w14:paraId="43F34A13">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二、合同总价</w:t>
      </w:r>
      <w:bookmarkEnd w:id="2"/>
      <w:bookmarkEnd w:id="3"/>
    </w:p>
    <w:p w14:paraId="737E856C">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合同总价为人民币大写：            元，即RMB￥        元；该合同总价已包括货物</w:t>
      </w:r>
      <w:bookmarkStart w:id="4" w:name="_Toc19492"/>
      <w:bookmarkStart w:id="5" w:name="_Toc217446109"/>
      <w:r>
        <w:rPr>
          <w:rFonts w:hint="eastAsia" w:ascii="宋体" w:hAnsi="宋体" w:eastAsia="宋体" w:cs="宋体"/>
          <w:sz w:val="28"/>
          <w:szCs w:val="28"/>
        </w:rPr>
        <w:t>供应商报价应包括货物定制、材料、制造、包装、运输、安装、调试、基础开挖及回填、检测、验收合格交付使用之前及保修期内保修服务与备用物件等等所有其他有关各项的含税费用。</w:t>
      </w:r>
    </w:p>
    <w:p w14:paraId="584A733A">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三、质量要求</w:t>
      </w:r>
      <w:bookmarkEnd w:id="4"/>
      <w:bookmarkEnd w:id="5"/>
    </w:p>
    <w:p w14:paraId="0A35DFD3">
      <w:pPr>
        <w:pStyle w:val="2"/>
        <w:spacing w:line="240" w:lineRule="auto"/>
        <w:ind w:firstLine="560" w:firstLineChars="200"/>
        <w:rPr>
          <w:rFonts w:hint="eastAsia" w:ascii="宋体" w:hAnsi="宋体" w:eastAsia="宋体" w:cs="宋体"/>
          <w:sz w:val="28"/>
          <w:szCs w:val="28"/>
        </w:rPr>
      </w:pPr>
      <w:bookmarkStart w:id="6" w:name="_Toc6040"/>
      <w:bookmarkStart w:id="7" w:name="_Toc217446110"/>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一</w:t>
      </w:r>
      <w:r>
        <w:rPr>
          <w:rFonts w:hint="eastAsia" w:ascii="宋体" w:hAnsi="宋体" w:eastAsia="宋体" w:cs="宋体"/>
          <w:sz w:val="28"/>
          <w:szCs w:val="28"/>
          <w:lang w:eastAsia="zh-CN"/>
        </w:rPr>
        <w:t>）</w:t>
      </w:r>
      <w:r>
        <w:rPr>
          <w:rFonts w:hint="eastAsia" w:ascii="宋体" w:hAnsi="宋体" w:eastAsia="宋体" w:cs="宋体"/>
          <w:sz w:val="28"/>
          <w:szCs w:val="28"/>
        </w:rPr>
        <w:t>乙方须提供全新的货物（含零部件、配件等），表面无划伤、无碰撞痕迹，且权属清楚，不得侵害他人的知识产权。</w:t>
      </w:r>
    </w:p>
    <w:p w14:paraId="3AA4512A">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（二）</w:t>
      </w:r>
      <w:r>
        <w:rPr>
          <w:rFonts w:hint="eastAsia" w:ascii="宋体" w:hAnsi="宋体" w:eastAsia="宋体" w:cs="宋体"/>
          <w:sz w:val="28"/>
          <w:szCs w:val="28"/>
        </w:rPr>
        <w:t>货物必须符合或优于国家（行业）          标准，以及本项目</w:t>
      </w:r>
      <w:r>
        <w:rPr>
          <w:rFonts w:hint="eastAsia" w:ascii="宋体" w:hAnsi="宋体" w:cs="宋体"/>
          <w:sz w:val="28"/>
          <w:szCs w:val="28"/>
          <w:lang w:eastAsia="zh-CN"/>
        </w:rPr>
        <w:t>招标文件</w:t>
      </w:r>
      <w:r>
        <w:rPr>
          <w:rFonts w:hint="eastAsia" w:ascii="宋体" w:hAnsi="宋体" w:eastAsia="宋体" w:cs="宋体"/>
          <w:sz w:val="28"/>
          <w:szCs w:val="28"/>
        </w:rPr>
        <w:t>的质量要求和技术指标与出厂标准。</w:t>
      </w:r>
    </w:p>
    <w:p w14:paraId="04C78012">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三</w:t>
      </w:r>
      <w:r>
        <w:rPr>
          <w:rFonts w:hint="eastAsia" w:ascii="宋体" w:hAnsi="宋体" w:eastAsia="宋体" w:cs="宋体"/>
          <w:sz w:val="28"/>
          <w:szCs w:val="28"/>
          <w:lang w:eastAsia="zh-CN"/>
        </w:rPr>
        <w:t>）</w:t>
      </w:r>
      <w:r>
        <w:rPr>
          <w:rFonts w:hint="eastAsia" w:ascii="宋体" w:hAnsi="宋体" w:eastAsia="宋体" w:cs="宋体"/>
          <w:sz w:val="28"/>
          <w:szCs w:val="28"/>
        </w:rPr>
        <w:t>乙方须在本合同签订之日起   日内送交货物成品样品给甲方确认，在甲方出具样品确认书并封存成品样品外观尺寸后，乙方才能按样生产，并以此样品作为验收样品；每台货物上均应有产品质量检验合格标志。</w:t>
      </w:r>
    </w:p>
    <w:p w14:paraId="4D51CC47">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四</w:t>
      </w:r>
      <w:r>
        <w:rPr>
          <w:rFonts w:hint="eastAsia" w:ascii="宋体" w:hAnsi="宋体" w:eastAsia="宋体" w:cs="宋体"/>
          <w:sz w:val="28"/>
          <w:szCs w:val="28"/>
          <w:lang w:eastAsia="zh-CN"/>
        </w:rPr>
        <w:t>）</w:t>
      </w:r>
      <w:r>
        <w:rPr>
          <w:rFonts w:hint="eastAsia" w:ascii="宋体" w:hAnsi="宋体" w:eastAsia="宋体" w:cs="宋体"/>
          <w:sz w:val="28"/>
          <w:szCs w:val="28"/>
        </w:rPr>
        <w:t>货物制造质量出现问题，乙方应负责三包（包修、包换、包退），费用由乙方负担，甲方有权到乙方生产场地检查货物质量和生产进度。</w:t>
      </w:r>
    </w:p>
    <w:p w14:paraId="6D4D9F63">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五</w:t>
      </w:r>
      <w:r>
        <w:rPr>
          <w:rFonts w:hint="eastAsia" w:ascii="宋体" w:hAnsi="宋体" w:eastAsia="宋体" w:cs="宋体"/>
          <w:sz w:val="28"/>
          <w:szCs w:val="28"/>
          <w:lang w:eastAsia="zh-CN"/>
        </w:rPr>
        <w:t>）</w:t>
      </w:r>
      <w:r>
        <w:rPr>
          <w:rFonts w:hint="eastAsia" w:ascii="宋体" w:hAnsi="宋体" w:eastAsia="宋体" w:cs="宋体"/>
          <w:sz w:val="28"/>
          <w:szCs w:val="28"/>
        </w:rPr>
        <w:t>货到现场后由于甲方保管不当造成的质量问题，乙方亦应负责修理，但费用由甲方负担。</w:t>
      </w:r>
    </w:p>
    <w:p w14:paraId="7BC7CEF4">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四、交货及验收</w:t>
      </w:r>
      <w:bookmarkEnd w:id="6"/>
      <w:bookmarkEnd w:id="7"/>
    </w:p>
    <w:p w14:paraId="6DFABE1F">
      <w:pPr>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合同履行期限：</w:t>
      </w:r>
      <w:r>
        <w:rPr>
          <w:rFonts w:hint="eastAsia" w:ascii="宋体" w:hAnsi="宋体" w:eastAsia="宋体" w:cs="宋体"/>
          <w:sz w:val="28"/>
          <w:szCs w:val="28"/>
          <w:lang w:val="en-US" w:eastAsia="zh-CN"/>
        </w:rPr>
        <w:t>自合同签订之日起60日。</w:t>
      </w:r>
    </w:p>
    <w:p w14:paraId="157B836D">
      <w:pPr>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highlight w:val="none"/>
        </w:rPr>
        <w:t>交货地点：</w:t>
      </w:r>
      <w:r>
        <w:rPr>
          <w:rFonts w:hint="eastAsia" w:ascii="宋体" w:hAnsi="宋体" w:eastAsia="宋体" w:cs="宋体"/>
          <w:sz w:val="28"/>
          <w:szCs w:val="28"/>
          <w:highlight w:val="none"/>
          <w:lang w:val="en-US" w:eastAsia="zh-CN"/>
        </w:rPr>
        <w:t>若尔盖县辖曼镇人民政府</w:t>
      </w:r>
      <w:r>
        <w:rPr>
          <w:rFonts w:hint="eastAsia" w:ascii="宋体" w:hAnsi="宋体" w:eastAsia="宋体" w:cs="宋体"/>
          <w:sz w:val="28"/>
          <w:szCs w:val="28"/>
          <w:highlight w:val="none"/>
          <w:lang w:eastAsia="zh-CN"/>
        </w:rPr>
        <w:t>。</w:t>
      </w:r>
    </w:p>
    <w:p w14:paraId="64FE9755">
      <w:pPr>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（三）</w:t>
      </w:r>
      <w:r>
        <w:rPr>
          <w:rFonts w:hint="eastAsia" w:ascii="宋体" w:hAnsi="宋体" w:eastAsia="宋体" w:cs="宋体"/>
          <w:sz w:val="28"/>
          <w:szCs w:val="28"/>
        </w:rPr>
        <w:t>履约验收：</w:t>
      </w:r>
    </w:p>
    <w:p w14:paraId="6A40C405">
      <w:pPr>
        <w:numPr>
          <w:ilvl w:val="0"/>
          <w:numId w:val="2"/>
        </w:numPr>
        <w:spacing w:line="24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履约验收主体：</w:t>
      </w:r>
      <w:r>
        <w:rPr>
          <w:rFonts w:hint="eastAsia" w:ascii="宋体" w:hAnsi="宋体" w:eastAsia="宋体" w:cs="宋体"/>
          <w:sz w:val="28"/>
          <w:szCs w:val="28"/>
          <w:lang w:eastAsia="zh-CN"/>
        </w:rPr>
        <w:t>若尔盖县辖曼镇人民政府</w:t>
      </w:r>
      <w:r>
        <w:rPr>
          <w:rFonts w:hint="eastAsia" w:ascii="宋体" w:hAnsi="宋体" w:eastAsia="宋体" w:cs="宋体"/>
          <w:sz w:val="28"/>
          <w:szCs w:val="28"/>
        </w:rPr>
        <w:t>；</w:t>
      </w:r>
    </w:p>
    <w:p w14:paraId="32534CB6">
      <w:pPr>
        <w:numPr>
          <w:ilvl w:val="0"/>
          <w:numId w:val="2"/>
        </w:numPr>
        <w:spacing w:line="24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履约验收时间：</w:t>
      </w:r>
      <w:r>
        <w:rPr>
          <w:rFonts w:hint="eastAsia" w:ascii="宋体" w:hAnsi="宋体" w:eastAsia="宋体" w:cs="宋体"/>
          <w:sz w:val="28"/>
          <w:szCs w:val="28"/>
          <w:lang w:eastAsia="zh-CN"/>
        </w:rPr>
        <w:t>乙方</w:t>
      </w:r>
      <w:r>
        <w:rPr>
          <w:rFonts w:hint="eastAsia" w:ascii="宋体" w:hAnsi="宋体" w:eastAsia="宋体" w:cs="宋体"/>
          <w:sz w:val="28"/>
          <w:szCs w:val="28"/>
        </w:rPr>
        <w:t>提出验收之日起</w:t>
      </w:r>
      <w:r>
        <w:rPr>
          <w:rFonts w:hint="eastAsia" w:ascii="宋体" w:hAnsi="宋体" w:eastAsia="宋体" w:cs="宋体"/>
          <w:sz w:val="28"/>
          <w:szCs w:val="28"/>
          <w:lang w:val="en-US" w:eastAsia="zh-CN"/>
        </w:rPr>
        <w:t>7</w:t>
      </w:r>
      <w:r>
        <w:rPr>
          <w:rFonts w:hint="eastAsia" w:ascii="宋体" w:hAnsi="宋体" w:eastAsia="宋体" w:cs="宋体"/>
          <w:sz w:val="28"/>
          <w:szCs w:val="28"/>
        </w:rPr>
        <w:t>日内完成最终验收，如质量验收合格，</w:t>
      </w:r>
      <w:r>
        <w:rPr>
          <w:rFonts w:hint="eastAsia" w:ascii="宋体" w:hAnsi="宋体" w:eastAsia="宋体" w:cs="宋体"/>
          <w:bCs/>
          <w:sz w:val="28"/>
          <w:szCs w:val="28"/>
        </w:rPr>
        <w:t>双方签署质量验收报告</w:t>
      </w:r>
      <w:r>
        <w:rPr>
          <w:rFonts w:hint="eastAsia" w:ascii="宋体" w:hAnsi="宋体" w:eastAsia="宋体" w:cs="宋体"/>
          <w:sz w:val="28"/>
          <w:szCs w:val="28"/>
        </w:rPr>
        <w:t>。</w:t>
      </w:r>
    </w:p>
    <w:p w14:paraId="27E7E494">
      <w:pPr>
        <w:numPr>
          <w:ilvl w:val="0"/>
          <w:numId w:val="2"/>
        </w:numPr>
        <w:spacing w:line="24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履约验收方式：单位内部验收；</w:t>
      </w:r>
    </w:p>
    <w:p w14:paraId="3447CAEC">
      <w:pPr>
        <w:numPr>
          <w:ilvl w:val="0"/>
          <w:numId w:val="2"/>
        </w:numPr>
        <w:spacing w:line="24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履约验收程序：验收由</w:t>
      </w:r>
      <w:r>
        <w:rPr>
          <w:rFonts w:hint="eastAsia" w:ascii="宋体" w:hAnsi="宋体" w:eastAsia="宋体" w:cs="宋体"/>
          <w:sz w:val="28"/>
          <w:szCs w:val="28"/>
          <w:lang w:eastAsia="zh-CN"/>
        </w:rPr>
        <w:t>甲方</w:t>
      </w:r>
      <w:r>
        <w:rPr>
          <w:rFonts w:hint="eastAsia" w:ascii="宋体" w:hAnsi="宋体" w:eastAsia="宋体" w:cs="宋体"/>
          <w:sz w:val="28"/>
          <w:szCs w:val="28"/>
        </w:rPr>
        <w:t>组织，</w:t>
      </w:r>
      <w:r>
        <w:rPr>
          <w:rFonts w:hint="eastAsia" w:ascii="宋体" w:hAnsi="宋体" w:eastAsia="宋体" w:cs="宋体"/>
          <w:sz w:val="28"/>
          <w:szCs w:val="28"/>
          <w:lang w:eastAsia="zh-CN"/>
        </w:rPr>
        <w:t>乙方</w:t>
      </w:r>
      <w:r>
        <w:rPr>
          <w:rFonts w:hint="eastAsia" w:ascii="宋体" w:hAnsi="宋体" w:eastAsia="宋体" w:cs="宋体"/>
          <w:sz w:val="28"/>
          <w:szCs w:val="28"/>
        </w:rPr>
        <w:t>配合进行，一次性验收；</w:t>
      </w:r>
    </w:p>
    <w:p w14:paraId="14DC7BFF">
      <w:pPr>
        <w:numPr>
          <w:ilvl w:val="0"/>
          <w:numId w:val="2"/>
        </w:numPr>
        <w:spacing w:line="240" w:lineRule="auto"/>
        <w:ind w:left="0" w:leftChars="0" w:firstLine="560" w:firstLineChars="200"/>
        <w:rPr>
          <w:rFonts w:hint="eastAsia" w:ascii="宋体" w:hAnsi="宋体" w:eastAsia="宋体" w:cs="宋体"/>
          <w:bCs/>
          <w:sz w:val="28"/>
          <w:szCs w:val="28"/>
        </w:rPr>
      </w:pPr>
      <w:r>
        <w:rPr>
          <w:rFonts w:hint="eastAsia" w:ascii="宋体" w:hAnsi="宋体" w:eastAsia="宋体" w:cs="宋体"/>
          <w:sz w:val="28"/>
          <w:szCs w:val="28"/>
        </w:rPr>
        <w:t>履约验收内容：结合</w:t>
      </w:r>
      <w:r>
        <w:rPr>
          <w:rFonts w:hint="eastAsia" w:ascii="宋体" w:hAnsi="宋体" w:eastAsia="宋体" w:cs="宋体"/>
          <w:sz w:val="28"/>
          <w:szCs w:val="28"/>
          <w:lang w:eastAsia="zh-CN"/>
        </w:rPr>
        <w:t>招标文件</w:t>
      </w:r>
      <w:r>
        <w:rPr>
          <w:rFonts w:hint="eastAsia" w:ascii="宋体" w:hAnsi="宋体" w:eastAsia="宋体" w:cs="宋体"/>
          <w:sz w:val="28"/>
          <w:szCs w:val="28"/>
        </w:rPr>
        <w:t>要求的每项技术参数要</w:t>
      </w:r>
      <w:r>
        <w:rPr>
          <w:rFonts w:hint="eastAsia" w:ascii="宋体" w:hAnsi="宋体" w:eastAsia="宋体" w:cs="宋体"/>
          <w:bCs/>
          <w:sz w:val="28"/>
          <w:szCs w:val="28"/>
        </w:rPr>
        <w:t>求、配置要求和商务要求，以及成交</w:t>
      </w:r>
      <w:r>
        <w:rPr>
          <w:rFonts w:hint="eastAsia" w:ascii="宋体" w:hAnsi="宋体" w:eastAsia="宋体" w:cs="宋体"/>
          <w:bCs/>
          <w:sz w:val="28"/>
          <w:szCs w:val="28"/>
          <w:lang w:eastAsia="zh-CN"/>
        </w:rPr>
        <w:t>乙方</w:t>
      </w:r>
      <w:r>
        <w:rPr>
          <w:rFonts w:hint="eastAsia" w:ascii="宋体" w:hAnsi="宋体" w:eastAsia="宋体" w:cs="宋体"/>
          <w:bCs/>
          <w:sz w:val="28"/>
          <w:szCs w:val="28"/>
        </w:rPr>
        <w:t>的</w:t>
      </w:r>
      <w:r>
        <w:rPr>
          <w:rFonts w:hint="eastAsia" w:ascii="宋体" w:hAnsi="宋体" w:eastAsia="宋体" w:cs="宋体"/>
          <w:bCs/>
          <w:sz w:val="28"/>
          <w:szCs w:val="28"/>
          <w:lang w:eastAsia="zh-CN"/>
        </w:rPr>
        <w:t>投标文件</w:t>
      </w:r>
      <w:r>
        <w:rPr>
          <w:rFonts w:hint="eastAsia" w:ascii="宋体" w:hAnsi="宋体" w:eastAsia="宋体" w:cs="宋体"/>
          <w:bCs/>
          <w:sz w:val="28"/>
          <w:szCs w:val="28"/>
        </w:rPr>
        <w:t>应答和承诺的条款和内容逐项核实履约情况。</w:t>
      </w:r>
    </w:p>
    <w:p w14:paraId="4642BA64">
      <w:pPr>
        <w:pStyle w:val="6"/>
        <w:numPr>
          <w:ilvl w:val="0"/>
          <w:numId w:val="2"/>
        </w:numPr>
        <w:spacing w:line="240" w:lineRule="auto"/>
        <w:ind w:left="0" w:leftChars="0" w:firstLine="560" w:firstLineChars="200"/>
        <w:rPr>
          <w:rFonts w:hint="eastAsia" w:ascii="宋体" w:hAnsi="宋体" w:eastAsia="宋体" w:cs="宋体"/>
          <w:bCs/>
          <w:sz w:val="28"/>
          <w:szCs w:val="28"/>
        </w:rPr>
      </w:pPr>
      <w:r>
        <w:rPr>
          <w:rFonts w:hint="eastAsia" w:ascii="宋体" w:hAnsi="宋体" w:eastAsia="宋体" w:cs="宋体"/>
          <w:bCs/>
          <w:sz w:val="28"/>
          <w:szCs w:val="28"/>
        </w:rPr>
        <w:t>履约验收标准：</w:t>
      </w:r>
    </w:p>
    <w:p w14:paraId="7C90E515">
      <w:pPr>
        <w:pStyle w:val="6"/>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验收标准：按国家有关规定以及</w:t>
      </w:r>
      <w:r>
        <w:rPr>
          <w:rFonts w:hint="eastAsia" w:ascii="宋体" w:hAnsi="宋体" w:eastAsia="宋体" w:cs="宋体"/>
          <w:sz w:val="28"/>
          <w:szCs w:val="28"/>
          <w:lang w:eastAsia="zh-CN"/>
        </w:rPr>
        <w:t>招标文件</w:t>
      </w:r>
      <w:r>
        <w:rPr>
          <w:rFonts w:hint="eastAsia" w:ascii="宋体" w:hAnsi="宋体" w:eastAsia="宋体" w:cs="宋体"/>
          <w:sz w:val="28"/>
          <w:szCs w:val="28"/>
        </w:rPr>
        <w:t>的质量要求和技术指标、供应商的</w:t>
      </w:r>
      <w:r>
        <w:rPr>
          <w:rFonts w:hint="eastAsia" w:ascii="宋体" w:hAnsi="宋体" w:eastAsia="宋体" w:cs="宋体"/>
          <w:sz w:val="28"/>
          <w:szCs w:val="28"/>
          <w:lang w:eastAsia="zh-CN"/>
        </w:rPr>
        <w:t>投标文件</w:t>
      </w:r>
      <w:r>
        <w:rPr>
          <w:rFonts w:hint="eastAsia" w:ascii="宋体" w:hAnsi="宋体" w:eastAsia="宋体" w:cs="宋体"/>
          <w:sz w:val="28"/>
          <w:szCs w:val="28"/>
        </w:rPr>
        <w:t>及承诺与本合同约定标准进行验收；采购人与供应商双方如对质量要求和技术指标的约定标准有相互抵触或异议的事项，由采购人在</w:t>
      </w:r>
      <w:r>
        <w:rPr>
          <w:rFonts w:hint="eastAsia" w:ascii="宋体" w:hAnsi="宋体" w:eastAsia="宋体" w:cs="宋体"/>
          <w:sz w:val="28"/>
          <w:szCs w:val="28"/>
          <w:lang w:eastAsia="zh-CN"/>
        </w:rPr>
        <w:t>招标文件</w:t>
      </w:r>
      <w:r>
        <w:rPr>
          <w:rFonts w:hint="eastAsia" w:ascii="宋体" w:hAnsi="宋体" w:eastAsia="宋体" w:cs="宋体"/>
          <w:sz w:val="28"/>
          <w:szCs w:val="28"/>
        </w:rPr>
        <w:t>及</w:t>
      </w:r>
      <w:r>
        <w:rPr>
          <w:rFonts w:hint="eastAsia" w:ascii="宋体" w:hAnsi="宋体" w:eastAsia="宋体" w:cs="宋体"/>
          <w:sz w:val="28"/>
          <w:szCs w:val="28"/>
          <w:lang w:eastAsia="zh-CN"/>
        </w:rPr>
        <w:t>投标文件</w:t>
      </w:r>
      <w:r>
        <w:rPr>
          <w:rFonts w:hint="eastAsia" w:ascii="宋体" w:hAnsi="宋体" w:eastAsia="宋体" w:cs="宋体"/>
          <w:sz w:val="28"/>
          <w:szCs w:val="28"/>
        </w:rPr>
        <w:t>中按质量要求和技术指标比较优胜的原则确定该项的约定标准进行验收。</w:t>
      </w:r>
    </w:p>
    <w:p w14:paraId="6BBB8592">
      <w:pPr>
        <w:pStyle w:val="6"/>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验收时如发现所交付货物或其它不符合标准及本合同规定之情形，采购人应做出详尽的现场记录，或由采购人与供应商双方签署备忘录，此现场记录或备忘录可用作修改货物的有效证据，由此产生的时间延误与有关费用由供应商承担，验收期限相应顺延。</w:t>
      </w:r>
    </w:p>
    <w:p w14:paraId="20DCF357">
      <w:pPr>
        <w:pStyle w:val="6"/>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采购人在合同约定时间内无故不进行验收工作，视同供应商已安装完成并验收合格。</w:t>
      </w:r>
    </w:p>
    <w:p w14:paraId="7D06B5AA">
      <w:pPr>
        <w:pStyle w:val="6"/>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如货物经供应商3次退换仍不能达到合同约定的质量标准，采购人有权不接收货物，并视作供应商所交付的货物不符合本合同规定而须支付违约赔偿金给采购人，采购人还可依法追究供应商的违约责任。</w:t>
      </w:r>
    </w:p>
    <w:p w14:paraId="05EE5023">
      <w:pPr>
        <w:pStyle w:val="6"/>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项目验收结果合格的，采购人按合同约定支付采购资金；验收结果不合格且拒不整改的，将不予支付采购资金，还可能上报本项目同级财政部门按照政府采购法律法规给予行政处罚或者以失信行为记入诚信档案。</w:t>
      </w:r>
    </w:p>
    <w:p w14:paraId="1CA70A7C">
      <w:pPr>
        <w:pStyle w:val="6"/>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若本项目的采购内容涉及强制性国家、行业以及地方规定或标准按其相关规定或标准执行，若涉及须提供相关证书或证明材料的，交货或验收时由采购人查验。</w:t>
      </w:r>
    </w:p>
    <w:p w14:paraId="1CD13FFF">
      <w:pPr>
        <w:pStyle w:val="6"/>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其他验收：按照政府采购相关法律法规以及《财政部关于进一步加强政府采购需求和履约验收管理的指导意见》（财库〔2016〕205号）的要求进行验收。</w:t>
      </w:r>
    </w:p>
    <w:p w14:paraId="6606805B">
      <w:pPr>
        <w:pStyle w:val="2"/>
        <w:spacing w:line="240" w:lineRule="auto"/>
        <w:ind w:firstLine="560" w:firstLineChars="200"/>
        <w:rPr>
          <w:rFonts w:hint="eastAsia" w:ascii="宋体" w:hAnsi="宋体" w:eastAsia="宋体" w:cs="宋体"/>
          <w:sz w:val="28"/>
          <w:szCs w:val="28"/>
          <w:highlight w:val="none"/>
        </w:rPr>
      </w:pPr>
      <w:bookmarkStart w:id="8" w:name="_Toc217446111"/>
      <w:bookmarkStart w:id="9" w:name="_Toc17591"/>
      <w:r>
        <w:rPr>
          <w:rFonts w:hint="eastAsia" w:ascii="宋体" w:hAnsi="宋体" w:eastAsia="宋体" w:cs="宋体"/>
          <w:sz w:val="28"/>
          <w:szCs w:val="28"/>
          <w:highlight w:val="none"/>
        </w:rPr>
        <w:t>五、付款方式</w:t>
      </w:r>
      <w:bookmarkEnd w:id="8"/>
      <w:bookmarkEnd w:id="9"/>
    </w:p>
    <w:p w14:paraId="252407FC">
      <w:pPr>
        <w:spacing w:line="240" w:lineRule="auto"/>
        <w:ind w:firstLine="560" w:firstLineChars="200"/>
        <w:rPr>
          <w:rFonts w:hint="eastAsia" w:ascii="宋体" w:hAnsi="宋体" w:eastAsia="宋体" w:cs="宋体"/>
          <w:sz w:val="28"/>
          <w:szCs w:val="28"/>
          <w:lang w:val="en-US" w:eastAsia="zh-CN"/>
        </w:rPr>
      </w:pPr>
      <w:bookmarkStart w:id="10" w:name="_Toc30484"/>
      <w:bookmarkStart w:id="11" w:name="_Toc217446112"/>
      <w:r>
        <w:rPr>
          <w:rFonts w:hint="eastAsia" w:ascii="宋体" w:hAnsi="宋体" w:cs="宋体"/>
          <w:sz w:val="28"/>
          <w:szCs w:val="28"/>
          <w:lang w:val="en-US" w:eastAsia="zh-CN"/>
        </w:rPr>
        <w:t>（一）</w:t>
      </w:r>
      <w:r>
        <w:rPr>
          <w:rFonts w:hint="eastAsia" w:ascii="宋体" w:hAnsi="宋体" w:eastAsia="宋体" w:cs="宋体"/>
          <w:sz w:val="28"/>
          <w:szCs w:val="28"/>
          <w:lang w:val="en-US" w:eastAsia="zh-CN"/>
        </w:rPr>
        <w:t>付款方式：1、合同签订生效后，采购人在收到供应商提供的真实有效、合法等额发票后，达到付款条件起20日内，支付合同总金额的30.00%</w:t>
      </w:r>
    </w:p>
    <w:p w14:paraId="6F4360D0">
      <w:pPr>
        <w:spacing w:line="24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2、供应商完成交货、安装调试并经采购人验收合格后，采购人在收到供应商提供的真实有效、合法等额发票后，达到付款条件起20日内，支付合同总金额的70.00%</w:t>
      </w:r>
    </w:p>
    <w:p w14:paraId="52780ED7">
      <w:pPr>
        <w:spacing w:line="240" w:lineRule="auto"/>
        <w:ind w:firstLine="560" w:firstLineChars="200"/>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（二）履约保证金：</w:t>
      </w:r>
      <w:r>
        <w:rPr>
          <w:rFonts w:hint="eastAsia" w:ascii="宋体" w:hAnsi="宋体" w:eastAsia="宋体" w:cs="宋体"/>
          <w:sz w:val="28"/>
          <w:szCs w:val="28"/>
          <w:lang w:val="en-US" w:eastAsia="zh-CN"/>
        </w:rPr>
        <w:t>合同总金额的3%。1.收款单位：xxx。 2.开户行：xxx。 3.银行账号：xxx。 4.交款时间：中标通知书发放后，政府采购合同签订前。 5.履约保证金退还时间</w:t>
      </w:r>
      <w:r>
        <w:rPr>
          <w:rFonts w:hint="eastAsia" w:ascii="宋体" w:hAnsi="宋体" w:eastAsia="宋体" w:cs="宋体"/>
          <w:b w:val="0"/>
          <w:bCs w:val="0"/>
          <w:sz w:val="28"/>
          <w:szCs w:val="28"/>
          <w:highlight w:val="none"/>
          <w:lang w:val="en-US" w:eastAsia="zh-CN"/>
        </w:rPr>
        <w:t>：项目服务期结束，最终验收合格后15个工作日内无息返还。 6. 履约保证金不予退还情形：验收结果不合格的，履约保证金将不予退还。7.履约保证金不予退还的，将按照有关规定上缴国库。逾期退还履约保证金的，将依法承担法律责任，并赔偿供应商损失。</w:t>
      </w:r>
    </w:p>
    <w:p w14:paraId="348CC15F">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六、</w:t>
      </w:r>
      <w:bookmarkEnd w:id="10"/>
      <w:bookmarkEnd w:id="11"/>
      <w:bookmarkStart w:id="12" w:name="_Toc14910"/>
      <w:bookmarkStart w:id="13" w:name="_Toc217446113"/>
      <w:r>
        <w:rPr>
          <w:rFonts w:hint="eastAsia" w:ascii="宋体" w:hAnsi="宋体" w:eastAsia="宋体" w:cs="宋体"/>
          <w:sz w:val="28"/>
          <w:szCs w:val="28"/>
        </w:rPr>
        <w:t>质量保修范围和保修期</w:t>
      </w:r>
    </w:p>
    <w:p w14:paraId="7CEC8EA7">
      <w:pPr>
        <w:pStyle w:val="2"/>
        <w:numPr>
          <w:ilvl w:val="0"/>
          <w:numId w:val="0"/>
        </w:numPr>
        <w:spacing w:line="240" w:lineRule="auto"/>
        <w:rPr>
          <w:rFonts w:hint="eastAsia" w:ascii="宋体" w:hAnsi="宋体" w:cs="宋体"/>
          <w:sz w:val="28"/>
          <w:szCs w:val="28"/>
          <w:lang w:val="en-US" w:eastAsia="zh-CN"/>
        </w:rPr>
      </w:pPr>
      <w:r>
        <w:rPr>
          <w:rFonts w:hint="eastAsia" w:ascii="宋体" w:hAnsi="宋体" w:cs="宋体"/>
          <w:sz w:val="28"/>
          <w:szCs w:val="28"/>
          <w:lang w:val="en-US" w:eastAsia="zh-CN"/>
        </w:rPr>
        <w:t xml:space="preserve">     （一）质保期均为验收合格后1年。质保期内，严格按国家三包法要求完成售后服务。</w:t>
      </w:r>
    </w:p>
    <w:p w14:paraId="5184526C">
      <w:pPr>
        <w:pStyle w:val="2"/>
        <w:numPr>
          <w:ilvl w:val="0"/>
          <w:numId w:val="0"/>
        </w:numPr>
        <w:spacing w:line="240" w:lineRule="auto"/>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二）项目质保期内供应商提供7×24小时热线服务，包含电话咨询服务、远程技术服务、现场技术支撑服务等。设备出现故障后能半小时内做出响应，12小时内上门维修或更换，无法维修或更换的24小时内提供解决方案。保修服务包含在报价中，采购人不再另行支付费用。</w:t>
      </w:r>
    </w:p>
    <w:p w14:paraId="4378B437">
      <w:pPr>
        <w:pStyle w:val="2"/>
        <w:spacing w:line="24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七、违约责任</w:t>
      </w:r>
      <w:bookmarkEnd w:id="12"/>
      <w:bookmarkEnd w:id="13"/>
    </w:p>
    <w:p w14:paraId="5220FCF4">
      <w:pPr>
        <w:pStyle w:val="2"/>
        <w:keepNext w:val="0"/>
        <w:keepLines w:val="0"/>
        <w:pageBreakBefore w:val="0"/>
        <w:widowControl w:val="0"/>
        <w:numPr>
          <w:ilvl w:val="0"/>
          <w:numId w:val="0"/>
        </w:numPr>
        <w:kinsoku/>
        <w:wordWrap/>
        <w:overflowPunct/>
        <w:topLinePunct w:val="0"/>
        <w:autoSpaceDE/>
        <w:autoSpaceDN/>
        <w:bidi w:val="0"/>
        <w:adjustRightInd w:val="0"/>
        <w:snapToGrid/>
        <w:spacing w:after="0" w:line="240" w:lineRule="auto"/>
        <w:ind w:left="0" w:leftChars="0" w:firstLine="560" w:firstLineChars="200"/>
        <w:textAlignment w:val="auto"/>
        <w:outlineLvl w:val="9"/>
        <w:rPr>
          <w:rFonts w:hint="eastAsia" w:ascii="宋体" w:hAnsi="宋体" w:eastAsia="宋体" w:cs="宋体"/>
          <w:sz w:val="28"/>
          <w:szCs w:val="28"/>
          <w:highlight w:val="none"/>
          <w:lang w:val="en-US" w:eastAsia="zh-CN"/>
        </w:rPr>
      </w:pPr>
      <w:bookmarkStart w:id="14" w:name="_Toc217446114"/>
      <w:bookmarkStart w:id="15" w:name="_Toc2996"/>
      <w:r>
        <w:rPr>
          <w:rFonts w:hint="eastAsia" w:ascii="宋体" w:hAnsi="宋体" w:eastAsia="宋体" w:cs="宋体"/>
          <w:sz w:val="28"/>
          <w:szCs w:val="28"/>
          <w:highlight w:val="none"/>
          <w:lang w:val="en-US" w:eastAsia="zh-CN"/>
        </w:rPr>
        <w:t>（一）采购人违约责任</w:t>
      </w:r>
    </w:p>
    <w:p w14:paraId="1E04CE1B">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240" w:lineRule="auto"/>
        <w:ind w:left="0" w:leftChars="0" w:firstLine="560" w:firstLineChars="200"/>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采购人应遵守合同并执行合同中的各项规定，保证合同的正常履行。</w:t>
      </w:r>
    </w:p>
    <w:p w14:paraId="78C874ED">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240" w:lineRule="auto"/>
        <w:ind w:left="0" w:leftChars="0" w:firstLine="560" w:firstLineChars="200"/>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采购人无正当理由拒收货物的，采购人应偿付合同总价百分之五的违约金；</w:t>
      </w:r>
    </w:p>
    <w:p w14:paraId="45566329">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240" w:lineRule="auto"/>
        <w:ind w:left="0" w:leftChars="0" w:firstLine="560" w:firstLineChars="200"/>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采购人逾期支付货物合同款项的，除应及时付足合同款项外，应向供应商偿付欠款总额万分之五/天的违约金；逾期付款超过六十天的，供应商有权终止合同。</w:t>
      </w:r>
    </w:p>
    <w:p w14:paraId="623AABD2">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240" w:lineRule="auto"/>
        <w:ind w:left="0" w:leftChars="0" w:firstLine="560" w:firstLineChars="200"/>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采购人偿付的违约金不足以弥补供应商损失的，还应按供应商经济损失尚未弥补的部分，支付赔偿金给供应商。</w:t>
      </w:r>
    </w:p>
    <w:p w14:paraId="2F033EFB">
      <w:pPr>
        <w:pStyle w:val="2"/>
        <w:keepNext w:val="0"/>
        <w:keepLines w:val="0"/>
        <w:pageBreakBefore w:val="0"/>
        <w:widowControl w:val="0"/>
        <w:numPr>
          <w:ilvl w:val="0"/>
          <w:numId w:val="0"/>
        </w:numPr>
        <w:kinsoku/>
        <w:wordWrap/>
        <w:overflowPunct/>
        <w:topLinePunct w:val="0"/>
        <w:autoSpaceDE/>
        <w:autoSpaceDN/>
        <w:bidi w:val="0"/>
        <w:adjustRightInd w:val="0"/>
        <w:snapToGrid/>
        <w:spacing w:after="0" w:line="240" w:lineRule="auto"/>
        <w:ind w:left="0" w:leftChars="0" w:firstLine="560" w:firstLineChars="200"/>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（二）供应商违约责任</w:t>
      </w:r>
    </w:p>
    <w:p w14:paraId="441A080F">
      <w:pPr>
        <w:pStyle w:val="2"/>
        <w:keepNext w:val="0"/>
        <w:keepLines w:val="0"/>
        <w:pageBreakBefore w:val="0"/>
        <w:widowControl w:val="0"/>
        <w:numPr>
          <w:ilvl w:val="0"/>
          <w:numId w:val="5"/>
        </w:numPr>
        <w:kinsoku/>
        <w:wordWrap/>
        <w:overflowPunct/>
        <w:topLinePunct w:val="0"/>
        <w:autoSpaceDE/>
        <w:autoSpaceDN/>
        <w:bidi w:val="0"/>
        <w:adjustRightInd w:val="0"/>
        <w:snapToGrid/>
        <w:spacing w:after="0" w:line="240" w:lineRule="auto"/>
        <w:ind w:left="0" w:leftChars="0" w:firstLine="400" w:firstLineChars="0"/>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供应商必须遵守采购合同并执行合同中的各项规定，保证采购合同的正常履行。</w:t>
      </w:r>
    </w:p>
    <w:p w14:paraId="22FF7614">
      <w:pPr>
        <w:pStyle w:val="2"/>
        <w:keepNext w:val="0"/>
        <w:keepLines w:val="0"/>
        <w:pageBreakBefore w:val="0"/>
        <w:widowControl w:val="0"/>
        <w:numPr>
          <w:ilvl w:val="0"/>
          <w:numId w:val="5"/>
        </w:numPr>
        <w:kinsoku/>
        <w:wordWrap/>
        <w:overflowPunct/>
        <w:topLinePunct w:val="0"/>
        <w:autoSpaceDE/>
        <w:autoSpaceDN/>
        <w:bidi w:val="0"/>
        <w:adjustRightInd w:val="0"/>
        <w:snapToGrid/>
        <w:spacing w:after="0" w:line="240" w:lineRule="auto"/>
        <w:ind w:left="0" w:leftChars="0" w:firstLine="400" w:firstLineChars="0"/>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w:t>
      </w:r>
    </w:p>
    <w:p w14:paraId="0721BD63">
      <w:pPr>
        <w:pStyle w:val="2"/>
        <w:keepNext w:val="0"/>
        <w:keepLines w:val="0"/>
        <w:pageBreakBefore w:val="0"/>
        <w:widowControl w:val="0"/>
        <w:numPr>
          <w:ilvl w:val="0"/>
          <w:numId w:val="5"/>
        </w:numPr>
        <w:kinsoku/>
        <w:wordWrap/>
        <w:overflowPunct/>
        <w:topLinePunct w:val="0"/>
        <w:autoSpaceDE/>
        <w:autoSpaceDN/>
        <w:bidi w:val="0"/>
        <w:adjustRightInd w:val="0"/>
        <w:snapToGrid/>
        <w:spacing w:after="0" w:line="240" w:lineRule="auto"/>
        <w:ind w:left="0" w:leftChars="0" w:firstLine="400" w:firstLineChars="0"/>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供应商不能按时提供货物或逾期提供的而违约的，除应及时提供货物外，应向采购人偿付逾期提供部分货款总额的万分之五/天的违约金；逾期超过30天，采购人有权终止合同，供应商则应按合同总价的百分之十的款额向采购人偿付违约金，并须全额退还采购人已经付给供应商的货款及其利息。</w:t>
      </w:r>
    </w:p>
    <w:p w14:paraId="2162DC13">
      <w:pPr>
        <w:pStyle w:val="2"/>
        <w:keepNext w:val="0"/>
        <w:keepLines w:val="0"/>
        <w:pageBreakBefore w:val="0"/>
        <w:widowControl w:val="0"/>
        <w:numPr>
          <w:ilvl w:val="0"/>
          <w:numId w:val="5"/>
        </w:numPr>
        <w:kinsoku/>
        <w:wordWrap/>
        <w:overflowPunct/>
        <w:topLinePunct w:val="0"/>
        <w:autoSpaceDE/>
        <w:autoSpaceDN/>
        <w:bidi w:val="0"/>
        <w:adjustRightInd w:val="0"/>
        <w:snapToGrid/>
        <w:spacing w:after="0" w:line="240" w:lineRule="auto"/>
        <w:ind w:left="0" w:leftChars="0" w:firstLine="400" w:firstLineChars="0"/>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供应商在履约过程中，货物经采购人使用不合格的，采购人有权要求供应商整改，供应商三次整改仍不符合要求的，采购人有权终止合同。</w:t>
      </w:r>
    </w:p>
    <w:p w14:paraId="7ADD0B66">
      <w:pPr>
        <w:pStyle w:val="2"/>
        <w:keepNext w:val="0"/>
        <w:keepLines w:val="0"/>
        <w:pageBreakBefore w:val="0"/>
        <w:widowControl w:val="0"/>
        <w:numPr>
          <w:ilvl w:val="0"/>
          <w:numId w:val="5"/>
        </w:numPr>
        <w:kinsoku/>
        <w:wordWrap/>
        <w:overflowPunct/>
        <w:topLinePunct w:val="0"/>
        <w:autoSpaceDE/>
        <w:autoSpaceDN/>
        <w:bidi w:val="0"/>
        <w:adjustRightInd w:val="0"/>
        <w:snapToGrid/>
        <w:spacing w:after="0" w:line="240" w:lineRule="auto"/>
        <w:ind w:left="0" w:leftChars="0" w:firstLine="40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highlight w:val="none"/>
          <w:lang w:val="en-US" w:eastAsia="zh-CN"/>
        </w:rPr>
        <w:t>供应商应当遵守采购人的相关项目需求及相关技术要求及实质性条款，实施完成采购合同应当完全满足相关项目需求及相关技术要求及实质性条款，若供应商瑕疵履行采购合同，采购人有权向供应商要求赔偿合同总价款5%的违约金，若造成相关损失的，采购人有权要求供应商承担所有赔偿责任。</w:t>
      </w:r>
    </w:p>
    <w:p w14:paraId="7D0A4148">
      <w:pPr>
        <w:pStyle w:val="2"/>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八、争议解决办法</w:t>
      </w:r>
      <w:bookmarkEnd w:id="14"/>
      <w:bookmarkEnd w:id="15"/>
    </w:p>
    <w:p w14:paraId="227CC1A2">
      <w:pPr>
        <w:numPr>
          <w:ilvl w:val="0"/>
          <w:numId w:val="6"/>
        </w:numPr>
        <w:spacing w:line="240" w:lineRule="auto"/>
        <w:ind w:left="0" w:leftChars="0" w:firstLine="420" w:firstLineChars="0"/>
        <w:rPr>
          <w:rFonts w:hint="eastAsia" w:ascii="宋体" w:hAnsi="宋体" w:eastAsia="宋体" w:cs="宋体"/>
          <w:sz w:val="28"/>
          <w:szCs w:val="28"/>
        </w:rPr>
      </w:pPr>
      <w:bookmarkStart w:id="16" w:name="_Toc2405"/>
      <w:bookmarkStart w:id="17" w:name="_Toc217446115"/>
      <w:r>
        <w:rPr>
          <w:rFonts w:hint="eastAsia" w:ascii="宋体" w:hAnsi="宋体" w:eastAsia="宋体" w:cs="宋体"/>
          <w:sz w:val="28"/>
          <w:szCs w:val="28"/>
        </w:rPr>
        <w:t>在执行本合同中发生的或与本合同有关的争端，双方应通过友好协商解决，经协商在60天内不能达成协议时，双方均有权向甲方所在地人民法院提起诉讼。</w:t>
      </w:r>
    </w:p>
    <w:p w14:paraId="173A938F">
      <w:pPr>
        <w:numPr>
          <w:ilvl w:val="0"/>
          <w:numId w:val="6"/>
        </w:numPr>
        <w:spacing w:line="240" w:lineRule="auto"/>
        <w:ind w:left="0" w:leftChars="0" w:firstLine="420" w:firstLineChars="0"/>
        <w:rPr>
          <w:rFonts w:hint="eastAsia" w:ascii="宋体" w:hAnsi="宋体" w:eastAsia="宋体" w:cs="宋体"/>
          <w:sz w:val="28"/>
          <w:szCs w:val="28"/>
        </w:rPr>
      </w:pPr>
      <w:r>
        <w:rPr>
          <w:rFonts w:hint="eastAsia" w:ascii="宋体" w:hAnsi="宋体" w:eastAsia="宋体" w:cs="宋体"/>
          <w:sz w:val="28"/>
          <w:szCs w:val="28"/>
        </w:rPr>
        <w:t>合同落款处双方通讯地址视为双方确认送达地址，适用于双方文件、函件往来、法院文书送达等。乙方地址变更应当书面告知甲方，否则甲方按照该地址送达视为有效送达。</w:t>
      </w:r>
    </w:p>
    <w:p w14:paraId="170A3BA0">
      <w:pPr>
        <w:pStyle w:val="2"/>
        <w:spacing w:line="240" w:lineRule="auto"/>
        <w:ind w:firstLine="560" w:firstLineChars="200"/>
        <w:rPr>
          <w:rFonts w:hint="eastAsia" w:ascii="宋体" w:hAnsi="宋体" w:eastAsia="宋体" w:cs="宋体"/>
          <w:sz w:val="28"/>
          <w:szCs w:val="28"/>
        </w:rPr>
      </w:pPr>
      <w:r>
        <w:rPr>
          <w:rFonts w:hint="eastAsia" w:ascii="宋体" w:hAnsi="宋体" w:cs="宋体"/>
          <w:sz w:val="28"/>
          <w:szCs w:val="28"/>
          <w:lang w:eastAsia="zh-CN"/>
        </w:rPr>
        <w:t>九</w:t>
      </w:r>
      <w:r>
        <w:rPr>
          <w:rFonts w:hint="eastAsia" w:ascii="宋体" w:hAnsi="宋体" w:eastAsia="宋体" w:cs="宋体"/>
          <w:sz w:val="28"/>
          <w:szCs w:val="28"/>
        </w:rPr>
        <w:t>、保险</w:t>
      </w:r>
    </w:p>
    <w:p w14:paraId="0CAF262F">
      <w:pPr>
        <w:pStyle w:val="2"/>
        <w:numPr>
          <w:ilvl w:val="0"/>
          <w:numId w:val="7"/>
        </w:numPr>
        <w:spacing w:line="240" w:lineRule="auto"/>
        <w:ind w:left="0" w:leftChars="0" w:firstLine="420" w:firstLineChars="0"/>
        <w:rPr>
          <w:rFonts w:hint="eastAsia" w:ascii="宋体" w:hAnsi="宋体" w:eastAsia="宋体" w:cs="宋体"/>
          <w:sz w:val="28"/>
          <w:szCs w:val="28"/>
        </w:rPr>
      </w:pPr>
      <w:r>
        <w:rPr>
          <w:rFonts w:hint="eastAsia" w:ascii="宋体" w:hAnsi="宋体" w:eastAsia="宋体" w:cs="宋体"/>
          <w:sz w:val="28"/>
          <w:szCs w:val="28"/>
          <w:lang w:eastAsia="zh-CN"/>
        </w:rPr>
        <w:t>乙方</w:t>
      </w:r>
      <w:r>
        <w:rPr>
          <w:rFonts w:hint="eastAsia" w:ascii="宋体" w:hAnsi="宋体" w:eastAsia="宋体" w:cs="宋体"/>
          <w:sz w:val="28"/>
          <w:szCs w:val="28"/>
        </w:rPr>
        <w:t>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w:t>
      </w:r>
    </w:p>
    <w:p w14:paraId="0F09CA7F">
      <w:pPr>
        <w:pStyle w:val="2"/>
        <w:numPr>
          <w:ilvl w:val="0"/>
          <w:numId w:val="7"/>
        </w:numPr>
        <w:spacing w:line="240" w:lineRule="auto"/>
        <w:ind w:left="0" w:leftChars="0" w:firstLine="420" w:firstLineChars="0"/>
        <w:rPr>
          <w:rFonts w:hint="eastAsia" w:ascii="宋体" w:hAnsi="宋体" w:eastAsia="宋体" w:cs="宋体"/>
          <w:sz w:val="28"/>
          <w:szCs w:val="28"/>
        </w:rPr>
      </w:pPr>
      <w:r>
        <w:rPr>
          <w:rFonts w:hint="eastAsia" w:ascii="宋体" w:hAnsi="宋体" w:eastAsia="宋体" w:cs="宋体"/>
          <w:sz w:val="28"/>
          <w:szCs w:val="28"/>
          <w:lang w:eastAsia="zh-CN"/>
        </w:rPr>
        <w:t>乙方</w:t>
      </w:r>
      <w:r>
        <w:rPr>
          <w:rFonts w:hint="eastAsia" w:ascii="宋体" w:hAnsi="宋体" w:eastAsia="宋体" w:cs="宋体"/>
          <w:sz w:val="28"/>
          <w:szCs w:val="28"/>
        </w:rPr>
        <w:t>应为本项目提供履约的所有人员按照国家规定购买相关保险。</w:t>
      </w:r>
    </w:p>
    <w:p w14:paraId="054678FD">
      <w:pPr>
        <w:pStyle w:val="2"/>
        <w:numPr>
          <w:ilvl w:val="0"/>
          <w:numId w:val="7"/>
        </w:numPr>
        <w:spacing w:line="240" w:lineRule="auto"/>
        <w:ind w:left="0" w:leftChars="0" w:firstLine="420" w:firstLineChars="0"/>
        <w:rPr>
          <w:rFonts w:hint="eastAsia" w:ascii="宋体" w:hAnsi="宋体" w:eastAsia="宋体" w:cs="宋体"/>
          <w:sz w:val="28"/>
          <w:szCs w:val="28"/>
        </w:rPr>
      </w:pPr>
      <w:r>
        <w:rPr>
          <w:rFonts w:hint="eastAsia" w:ascii="宋体" w:hAnsi="宋体" w:eastAsia="宋体" w:cs="宋体"/>
          <w:sz w:val="28"/>
          <w:szCs w:val="28"/>
          <w:lang w:eastAsia="zh-CN"/>
        </w:rPr>
        <w:t>乙方</w:t>
      </w:r>
      <w:r>
        <w:rPr>
          <w:rFonts w:hint="eastAsia" w:ascii="宋体" w:hAnsi="宋体" w:eastAsia="宋体" w:cs="宋体"/>
          <w:sz w:val="28"/>
          <w:szCs w:val="28"/>
        </w:rPr>
        <w:t>自行运输标的物或委托承运人运输的，应为该批货物购买货物运输保险及运输工具航程保险。</w:t>
      </w:r>
    </w:p>
    <w:p w14:paraId="21047354">
      <w:pPr>
        <w:pStyle w:val="2"/>
        <w:spacing w:line="24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十、包装和运输：</w:t>
      </w:r>
    </w:p>
    <w:p w14:paraId="0F1D9223">
      <w:pPr>
        <w:pStyle w:val="2"/>
        <w:numPr>
          <w:ilvl w:val="0"/>
          <w:numId w:val="8"/>
        </w:numPr>
        <w:spacing w:line="240" w:lineRule="auto"/>
        <w:ind w:left="0" w:leftChars="0" w:firstLine="420" w:firstLineChars="0"/>
        <w:rPr>
          <w:rFonts w:hint="eastAsia" w:ascii="宋体" w:hAnsi="宋体" w:cs="宋体"/>
          <w:sz w:val="28"/>
          <w:szCs w:val="28"/>
          <w:lang w:eastAsia="zh-CN"/>
        </w:rPr>
      </w:pPr>
      <w:r>
        <w:rPr>
          <w:rFonts w:hint="eastAsia" w:ascii="宋体" w:hAnsi="宋体" w:cs="宋体"/>
          <w:sz w:val="28"/>
          <w:szCs w:val="28"/>
          <w:lang w:val="en-US"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5682A143">
      <w:pPr>
        <w:pStyle w:val="2"/>
        <w:numPr>
          <w:ilvl w:val="0"/>
          <w:numId w:val="0"/>
        </w:numPr>
        <w:spacing w:line="24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二）运输物品的若有国家或行业特殊规定的，按其国家或行业的规定执行，须提供相关证件或证明材料的，交货时由采购人查验。运输物品的若有国家或行业特殊规定的，按其国家或行业的规定执行，须提供相关证件或证明材料的，交货时由采购人查验。</w:t>
      </w:r>
    </w:p>
    <w:p w14:paraId="46AF8329">
      <w:pPr>
        <w:pStyle w:val="2"/>
        <w:spacing w:line="24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十一、</w:t>
      </w:r>
      <w:r>
        <w:rPr>
          <w:rFonts w:hint="eastAsia" w:ascii="宋体" w:hAnsi="宋体" w:cs="宋体"/>
          <w:sz w:val="28"/>
          <w:szCs w:val="28"/>
          <w:lang w:val="en-US" w:eastAsia="zh-CN"/>
        </w:rPr>
        <w:t>国家或行业主管部门对采购产品的技术标准、质量标准和资格资质条件等有强制性规定的，必须符合其要求。成交后，若涉及国家强制性产品3C认证证书、有效期内的无线电发射设备型号核准证、列入《网络关键设备和网络安全专用产品目录》的网络安全专用产品应当按照《信息安全技术网络安全专用产品安全技术要求》等相关国家标准的强制性要求，由具备资格的机构安全认证合格或者安全检测符合要求的证明材料， 其中任意一种的，签订采购合同时提供给采购人，由采购人查验。</w:t>
      </w:r>
    </w:p>
    <w:p w14:paraId="335C3EBA">
      <w:pPr>
        <w:pStyle w:val="2"/>
        <w:spacing w:line="24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十二、安全责任：</w:t>
      </w:r>
    </w:p>
    <w:p w14:paraId="5BE1A6FA">
      <w:pPr>
        <w:pStyle w:val="2"/>
        <w:spacing w:line="24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供应商投入本项目工作人员的人身安全由供应商负责，供应商应为本项目工作人员购买人身意外伤害险及与项目实施有关的一切保险。凡在项目实施过程中发生安全责任事故或其他责任事故，均由供应商承担全部民事和刑事责任，因供应商应自身安全措施不力造成的事故责任和因此发生的费用及后果由均供应商承担，采购人概不负责。</w:t>
      </w:r>
    </w:p>
    <w:p w14:paraId="70D4F2D9">
      <w:pPr>
        <w:pStyle w:val="2"/>
        <w:spacing w:line="240" w:lineRule="auto"/>
        <w:ind w:firstLine="560" w:firstLineChars="200"/>
        <w:rPr>
          <w:rFonts w:hint="eastAsia" w:ascii="宋体" w:hAnsi="宋体" w:eastAsia="宋体" w:cs="宋体"/>
          <w:sz w:val="28"/>
          <w:szCs w:val="28"/>
        </w:rPr>
      </w:pPr>
      <w:r>
        <w:rPr>
          <w:rFonts w:hint="eastAsia" w:ascii="宋体" w:hAnsi="宋体" w:cs="宋体"/>
          <w:sz w:val="28"/>
          <w:szCs w:val="28"/>
          <w:lang w:eastAsia="zh-CN"/>
        </w:rPr>
        <w:t>十三、</w:t>
      </w:r>
      <w:r>
        <w:rPr>
          <w:rFonts w:hint="eastAsia" w:ascii="宋体" w:hAnsi="宋体" w:eastAsia="宋体" w:cs="宋体"/>
          <w:sz w:val="28"/>
          <w:szCs w:val="28"/>
        </w:rPr>
        <w:t>其他</w:t>
      </w:r>
      <w:bookmarkEnd w:id="16"/>
      <w:bookmarkEnd w:id="17"/>
      <w:bookmarkStart w:id="18" w:name="_GoBack"/>
      <w:bookmarkEnd w:id="18"/>
    </w:p>
    <w:p w14:paraId="418DE747">
      <w:pPr>
        <w:pStyle w:val="2"/>
        <w:spacing w:line="240" w:lineRule="auto"/>
        <w:ind w:firstLine="560" w:firstLineChars="200"/>
        <w:rPr>
          <w:rFonts w:hint="eastAsia" w:ascii="宋体" w:hAnsi="宋体" w:eastAsia="宋体" w:cs="宋体"/>
          <w:sz w:val="28"/>
          <w:szCs w:val="28"/>
        </w:rPr>
      </w:pPr>
      <w:r>
        <w:rPr>
          <w:rFonts w:hint="eastAsia" w:ascii="宋体" w:hAnsi="宋体" w:cs="宋体"/>
          <w:sz w:val="28"/>
          <w:szCs w:val="28"/>
          <w:lang w:eastAsia="zh-CN"/>
        </w:rPr>
        <w:t>（一）</w:t>
      </w:r>
      <w:r>
        <w:rPr>
          <w:rFonts w:hint="eastAsia" w:ascii="宋体" w:hAnsi="宋体" w:eastAsia="宋体" w:cs="宋体"/>
          <w:sz w:val="28"/>
          <w:szCs w:val="28"/>
        </w:rPr>
        <w:t>如有未尽事宜，由双方依法订立补充合同。</w:t>
      </w:r>
    </w:p>
    <w:p w14:paraId="30BA2B1D">
      <w:pPr>
        <w:pStyle w:val="2"/>
        <w:spacing w:line="240" w:lineRule="auto"/>
        <w:ind w:firstLine="560" w:firstLineChars="200"/>
        <w:rPr>
          <w:rFonts w:hint="eastAsia" w:ascii="宋体" w:hAnsi="宋体" w:eastAsia="宋体" w:cs="宋体"/>
          <w:sz w:val="28"/>
          <w:szCs w:val="28"/>
        </w:rPr>
      </w:pPr>
      <w:r>
        <w:rPr>
          <w:rFonts w:hint="eastAsia" w:ascii="宋体" w:hAnsi="宋体" w:cs="宋体"/>
          <w:sz w:val="28"/>
          <w:szCs w:val="28"/>
          <w:lang w:eastAsia="zh-CN"/>
        </w:rPr>
        <w:t>（二）</w:t>
      </w:r>
      <w:r>
        <w:rPr>
          <w:rFonts w:hint="eastAsia" w:ascii="宋体" w:hAnsi="宋体" w:eastAsia="宋体" w:cs="宋体"/>
          <w:sz w:val="28"/>
          <w:szCs w:val="28"/>
        </w:rPr>
        <w:t>本合同一式六份，自双方签章之日起生效。甲方三份，乙方、政府采购管理部门、采购组织机构各一份。</w:t>
      </w:r>
    </w:p>
    <w:p w14:paraId="4CD49B56">
      <w:pPr>
        <w:pStyle w:val="2"/>
        <w:spacing w:line="240" w:lineRule="auto"/>
        <w:rPr>
          <w:rFonts w:hint="eastAsia" w:ascii="宋体" w:hAnsi="宋体" w:eastAsia="宋体" w:cs="宋体"/>
          <w:sz w:val="28"/>
          <w:szCs w:val="28"/>
        </w:rPr>
      </w:pPr>
      <w:r>
        <w:rPr>
          <w:rFonts w:hint="eastAsia" w:ascii="宋体" w:hAnsi="宋体" w:eastAsia="宋体" w:cs="宋体"/>
          <w:sz w:val="28"/>
          <w:szCs w:val="28"/>
        </w:rPr>
        <w:t xml:space="preserve">甲    方：   （盖章）   </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 xml:space="preserve"> </w:t>
      </w:r>
      <w:r>
        <w:rPr>
          <w:rFonts w:hint="eastAsia" w:ascii="宋体" w:hAnsi="宋体" w:eastAsia="宋体" w:cs="宋体"/>
          <w:sz w:val="28"/>
          <w:szCs w:val="28"/>
        </w:rPr>
        <w:tab/>
      </w:r>
      <w:r>
        <w:rPr>
          <w:rFonts w:hint="eastAsia" w:ascii="宋体" w:hAnsi="宋体" w:eastAsia="宋体" w:cs="宋体"/>
          <w:sz w:val="28"/>
          <w:szCs w:val="28"/>
        </w:rPr>
        <w:t xml:space="preserve">     乙    方：   （盖章）</w:t>
      </w:r>
    </w:p>
    <w:p w14:paraId="6EBE9564">
      <w:pPr>
        <w:pStyle w:val="2"/>
        <w:spacing w:line="240" w:lineRule="auto"/>
        <w:rPr>
          <w:rFonts w:hint="eastAsia" w:ascii="宋体" w:hAnsi="宋体" w:eastAsia="宋体" w:cs="宋体"/>
          <w:sz w:val="28"/>
          <w:szCs w:val="28"/>
        </w:rPr>
      </w:pPr>
      <w:r>
        <w:rPr>
          <w:rFonts w:hint="eastAsia" w:ascii="宋体" w:hAnsi="宋体" w:eastAsia="宋体" w:cs="宋体"/>
          <w:sz w:val="28"/>
          <w:szCs w:val="28"/>
        </w:rPr>
        <w:t>法定代表人（授权代表）：           法定代表人（授权代表）：</w:t>
      </w:r>
    </w:p>
    <w:p w14:paraId="6F49464D">
      <w:pPr>
        <w:pStyle w:val="2"/>
        <w:spacing w:line="240" w:lineRule="auto"/>
        <w:rPr>
          <w:rFonts w:hint="eastAsia" w:ascii="宋体" w:hAnsi="宋体" w:eastAsia="宋体" w:cs="宋体"/>
          <w:sz w:val="28"/>
          <w:szCs w:val="28"/>
        </w:rPr>
      </w:pPr>
      <w:r>
        <w:rPr>
          <w:rFonts w:hint="eastAsia" w:ascii="宋体" w:hAnsi="宋体" w:eastAsia="宋体" w:cs="宋体"/>
          <w:sz w:val="28"/>
          <w:szCs w:val="28"/>
        </w:rPr>
        <w:t>地    址：                         地    址：</w:t>
      </w:r>
    </w:p>
    <w:p w14:paraId="43CEE3A3">
      <w:pPr>
        <w:pStyle w:val="2"/>
        <w:spacing w:line="240" w:lineRule="auto"/>
        <w:rPr>
          <w:rFonts w:hint="eastAsia" w:ascii="宋体" w:hAnsi="宋体" w:eastAsia="宋体" w:cs="宋体"/>
          <w:sz w:val="28"/>
          <w:szCs w:val="28"/>
        </w:rPr>
      </w:pPr>
      <w:r>
        <w:rPr>
          <w:rFonts w:hint="eastAsia" w:ascii="宋体" w:hAnsi="宋体" w:eastAsia="宋体" w:cs="宋体"/>
          <w:sz w:val="28"/>
          <w:szCs w:val="28"/>
        </w:rPr>
        <w:t>开户银行：                         开户银行：</w:t>
      </w:r>
    </w:p>
    <w:p w14:paraId="395B06EC">
      <w:pPr>
        <w:pStyle w:val="2"/>
        <w:spacing w:line="240" w:lineRule="auto"/>
        <w:rPr>
          <w:rFonts w:hint="eastAsia" w:ascii="宋体" w:hAnsi="宋体" w:eastAsia="宋体" w:cs="宋体"/>
          <w:sz w:val="28"/>
          <w:szCs w:val="28"/>
        </w:rPr>
      </w:pPr>
      <w:r>
        <w:rPr>
          <w:rFonts w:hint="eastAsia" w:ascii="宋体" w:hAnsi="宋体" w:eastAsia="宋体" w:cs="宋体"/>
          <w:sz w:val="28"/>
          <w:szCs w:val="28"/>
        </w:rPr>
        <w:t>账    号：                         账    号：</w:t>
      </w:r>
    </w:p>
    <w:p w14:paraId="26B867E6">
      <w:pPr>
        <w:pStyle w:val="2"/>
        <w:spacing w:line="240" w:lineRule="auto"/>
        <w:rPr>
          <w:rFonts w:hint="eastAsia" w:ascii="宋体" w:hAnsi="宋体" w:eastAsia="宋体" w:cs="宋体"/>
          <w:sz w:val="28"/>
          <w:szCs w:val="28"/>
        </w:rPr>
      </w:pPr>
      <w:r>
        <w:rPr>
          <w:rFonts w:hint="eastAsia" w:ascii="宋体" w:hAnsi="宋体" w:eastAsia="宋体" w:cs="宋体"/>
          <w:sz w:val="28"/>
          <w:szCs w:val="28"/>
        </w:rPr>
        <w:t>电    话：                         电    话：</w:t>
      </w:r>
    </w:p>
    <w:p w14:paraId="39ACE2A3">
      <w:pPr>
        <w:pStyle w:val="2"/>
        <w:spacing w:line="240" w:lineRule="auto"/>
        <w:rPr>
          <w:rFonts w:hint="eastAsia" w:ascii="宋体" w:hAnsi="宋体" w:eastAsia="宋体" w:cs="宋体"/>
          <w:sz w:val="28"/>
          <w:szCs w:val="28"/>
        </w:rPr>
      </w:pPr>
      <w:r>
        <w:rPr>
          <w:rFonts w:hint="eastAsia" w:ascii="宋体" w:hAnsi="宋体" w:eastAsia="宋体" w:cs="宋体"/>
          <w:sz w:val="28"/>
          <w:szCs w:val="28"/>
        </w:rPr>
        <w:t>传    真：                         传    真：</w:t>
      </w:r>
    </w:p>
    <w:p w14:paraId="0BF204B6">
      <w:pPr>
        <w:pStyle w:val="2"/>
        <w:spacing w:line="240" w:lineRule="auto"/>
        <w:rPr>
          <w:rFonts w:hint="eastAsia" w:ascii="宋体" w:hAnsi="宋体" w:eastAsia="宋体" w:cs="宋体"/>
          <w:sz w:val="28"/>
          <w:szCs w:val="28"/>
          <w:lang w:val="en-US" w:eastAsia="zh-CN"/>
        </w:rPr>
      </w:pPr>
      <w:r>
        <w:rPr>
          <w:rFonts w:hint="eastAsia" w:ascii="宋体" w:hAnsi="宋体" w:eastAsia="宋体" w:cs="宋体"/>
          <w:sz w:val="28"/>
          <w:szCs w:val="28"/>
        </w:rPr>
        <w:t xml:space="preserve">签约日期：XX年XX月XX日 </w:t>
      </w:r>
      <w:r>
        <w:rPr>
          <w:rFonts w:hint="eastAsia" w:ascii="宋体" w:hAnsi="宋体" w:eastAsia="宋体" w:cs="宋体"/>
          <w:sz w:val="28"/>
          <w:szCs w:val="28"/>
        </w:rPr>
        <w:tab/>
      </w:r>
      <w:r>
        <w:rPr>
          <w:rFonts w:hint="eastAsia" w:ascii="宋体" w:hAnsi="宋体" w:eastAsia="宋体" w:cs="宋体"/>
          <w:sz w:val="28"/>
          <w:szCs w:val="28"/>
        </w:rPr>
        <w:t xml:space="preserve">        签约日期：XX年XX月XX</w:t>
      </w:r>
      <w:r>
        <w:rPr>
          <w:rFonts w:hint="eastAsia" w:ascii="宋体" w:hAnsi="宋体" w:cs="宋体"/>
          <w:sz w:val="28"/>
          <w:szCs w:val="28"/>
          <w:lang w:eastAsia="zh-CN"/>
        </w:rPr>
        <w:t>日</w:t>
      </w:r>
    </w:p>
    <w:p w14:paraId="0D0FE2FD">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2F2D8F"/>
    <w:multiLevelType w:val="singleLevel"/>
    <w:tmpl w:val="8F2F2D8F"/>
    <w:lvl w:ilvl="0" w:tentative="0">
      <w:start w:val="1"/>
      <w:numFmt w:val="decimal"/>
      <w:suff w:val="nothing"/>
      <w:lvlText w:val="%1．"/>
      <w:lvlJc w:val="left"/>
      <w:pPr>
        <w:ind w:left="0" w:firstLine="400"/>
      </w:pPr>
      <w:rPr>
        <w:rFonts w:hint="default"/>
      </w:rPr>
    </w:lvl>
  </w:abstractNum>
  <w:abstractNum w:abstractNumId="1">
    <w:nsid w:val="A4A34203"/>
    <w:multiLevelType w:val="singleLevel"/>
    <w:tmpl w:val="A4A34203"/>
    <w:lvl w:ilvl="0" w:tentative="0">
      <w:start w:val="1"/>
      <w:numFmt w:val="chineseCounting"/>
      <w:suff w:val="nothing"/>
      <w:lvlText w:val="（%1）"/>
      <w:lvlJc w:val="left"/>
      <w:pPr>
        <w:ind w:left="0" w:firstLine="420"/>
      </w:pPr>
      <w:rPr>
        <w:rFonts w:hint="eastAsia"/>
      </w:rPr>
    </w:lvl>
  </w:abstractNum>
  <w:abstractNum w:abstractNumId="2">
    <w:nsid w:val="CE0D352F"/>
    <w:multiLevelType w:val="singleLevel"/>
    <w:tmpl w:val="CE0D352F"/>
    <w:lvl w:ilvl="0" w:tentative="0">
      <w:start w:val="1"/>
      <w:numFmt w:val="chineseCounting"/>
      <w:suff w:val="nothing"/>
      <w:lvlText w:val="（%1）"/>
      <w:lvlJc w:val="left"/>
      <w:pPr>
        <w:ind w:left="0" w:firstLine="420"/>
      </w:pPr>
      <w:rPr>
        <w:rFonts w:hint="eastAsia"/>
      </w:rPr>
    </w:lvl>
  </w:abstractNum>
  <w:abstractNum w:abstractNumId="3">
    <w:nsid w:val="DACEAD27"/>
    <w:multiLevelType w:val="singleLevel"/>
    <w:tmpl w:val="DACEAD27"/>
    <w:lvl w:ilvl="0" w:tentative="0">
      <w:start w:val="1"/>
      <w:numFmt w:val="decimal"/>
      <w:suff w:val="nothing"/>
      <w:lvlText w:val="%1．"/>
      <w:lvlJc w:val="left"/>
      <w:pPr>
        <w:ind w:left="0" w:firstLine="400"/>
      </w:pPr>
      <w:rPr>
        <w:rFonts w:hint="default"/>
      </w:rPr>
    </w:lvl>
  </w:abstractNum>
  <w:abstractNum w:abstractNumId="4">
    <w:nsid w:val="FBD020F0"/>
    <w:multiLevelType w:val="singleLevel"/>
    <w:tmpl w:val="FBD020F0"/>
    <w:lvl w:ilvl="0" w:tentative="0">
      <w:start w:val="1"/>
      <w:numFmt w:val="decimal"/>
      <w:suff w:val="space"/>
      <w:lvlText w:val="(%1)"/>
      <w:lvlJc w:val="left"/>
      <w:pPr>
        <w:ind w:left="425" w:hanging="425"/>
      </w:pPr>
      <w:rPr>
        <w:rFonts w:hint="default"/>
      </w:rPr>
    </w:lvl>
  </w:abstractNum>
  <w:abstractNum w:abstractNumId="5">
    <w:nsid w:val="14440154"/>
    <w:multiLevelType w:val="singleLevel"/>
    <w:tmpl w:val="14440154"/>
    <w:lvl w:ilvl="0" w:tentative="0">
      <w:start w:val="1"/>
      <w:numFmt w:val="chineseCounting"/>
      <w:suff w:val="nothing"/>
      <w:lvlText w:val="%1、"/>
      <w:lvlJc w:val="left"/>
      <w:rPr>
        <w:rFonts w:hint="eastAsia"/>
      </w:rPr>
    </w:lvl>
  </w:abstractNum>
  <w:abstractNum w:abstractNumId="6">
    <w:nsid w:val="5326E3B2"/>
    <w:multiLevelType w:val="singleLevel"/>
    <w:tmpl w:val="5326E3B2"/>
    <w:lvl w:ilvl="0" w:tentative="0">
      <w:start w:val="1"/>
      <w:numFmt w:val="chineseCounting"/>
      <w:suff w:val="nothing"/>
      <w:lvlText w:val="（%1）"/>
      <w:lvlJc w:val="left"/>
      <w:pPr>
        <w:ind w:left="0" w:firstLine="420"/>
      </w:pPr>
      <w:rPr>
        <w:rFonts w:hint="eastAsia"/>
      </w:rPr>
    </w:lvl>
  </w:abstractNum>
  <w:abstractNum w:abstractNumId="7">
    <w:nsid w:val="69B58B2F"/>
    <w:multiLevelType w:val="singleLevel"/>
    <w:tmpl w:val="69B58B2F"/>
    <w:lvl w:ilvl="0" w:tentative="0">
      <w:start w:val="1"/>
      <w:numFmt w:val="decimal"/>
      <w:suff w:val="nothing"/>
      <w:lvlText w:val="%1．"/>
      <w:lvlJc w:val="left"/>
      <w:pPr>
        <w:ind w:left="0" w:firstLine="400"/>
      </w:pPr>
      <w:rPr>
        <w:rFonts w:hint="default"/>
      </w:rPr>
    </w:lvl>
  </w:abstractNum>
  <w:num w:numId="1">
    <w:abstractNumId w:val="5"/>
  </w:num>
  <w:num w:numId="2">
    <w:abstractNumId w:val="0"/>
  </w:num>
  <w:num w:numId="3">
    <w:abstractNumId w:val="4"/>
  </w:num>
  <w:num w:numId="4">
    <w:abstractNumId w:val="3"/>
  </w:num>
  <w:num w:numId="5">
    <w:abstractNumId w:val="7"/>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C256B0"/>
    <w:rsid w:val="21C25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Arial"/>
      <w:kern w:val="2"/>
      <w:sz w:val="3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eastAsia="宋体"/>
      <w:sz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2025-03-06T08:56:00Z</dcterms:created>
  <dc:creator>代理公司</dc:creator>
  <cp:lastModifiedBy>代理公司</cp:lastModifiedBy>
  <dcterms:modified xsi:type="dcterms:W3CDTF">2025-03-06T09:01:23Z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9DF45C82572647D2A3E578D2B2410043_11</vt:lpwstr>
  </property>
  <property fmtid="{D5CDD505-2E9C-101B-9397-08002B2CF9AE}" pid="4" name="KSOTemplateDocerSaveRecord">
    <vt:lpwstr>eyJoZGlkIjoiMzczOTBlOWU0NGU3MmI2ODQ1NDJhODI5Y2EzZmE1MzYiLCJ1c2VySWQiOiIzMTU1NzUzMzQifQ==</vt:lpwstr>
  </property>
</Properties>
</file>