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版本号：N513429202500000920250313001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布拖县存量违法用地和违法建设土地评估工作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N5134292025000009</w:t>
      </w:r>
    </w:p>
    <w:p>
      <w:pPr>
        <w:pStyle w:val="null3"/>
        <w:jc w:val="left"/>
        <w:outlineLvl w:val="2"/>
      </w:pPr>
      <w:r>
        <w:rPr>
          <w:rFonts w:ascii="仿宋_GB2312" w:hAnsi="仿宋_GB2312" w:cs="仿宋_GB2312" w:eastAsia="仿宋_GB2312"/>
          <w:sz w:val="28"/>
          <w:b/>
        </w:rPr>
        <w:t>布拖县自然资源局</w:t>
      </w:r>
    </w:p>
    <w:p>
      <w:pPr>
        <w:pStyle w:val="null3"/>
        <w:jc w:val="center"/>
        <w:outlineLvl w:val="2"/>
      </w:pPr>
      <w:r>
        <w:rPr>
          <w:rFonts w:ascii="仿宋_GB2312" w:hAnsi="仿宋_GB2312" w:cs="仿宋_GB2312" w:eastAsia="仿宋_GB2312"/>
          <w:sz w:val="28"/>
          <w:b/>
        </w:rPr>
        <w:t>四川畅鑫工程项目管理有限公司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四川畅鑫工程项目管理有限公司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布拖县自然资源局</w:t>
      </w:r>
      <w:r>
        <w:rPr>
          <w:rFonts w:ascii="仿宋_GB2312" w:hAnsi="仿宋_GB2312" w:cs="仿宋_GB2312" w:eastAsia="仿宋_GB2312"/>
        </w:rPr>
        <w:t xml:space="preserve"> 委托，拟对 </w:t>
      </w:r>
      <w:r>
        <w:rPr>
          <w:rFonts w:ascii="仿宋_GB2312" w:hAnsi="仿宋_GB2312" w:cs="仿宋_GB2312" w:eastAsia="仿宋_GB2312"/>
        </w:rPr>
        <w:t>布拖县存量违法用地和违法建设土地评估工作</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凉山彝族自治州布拖县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N5134292025000009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布拖县存量违法用地和违法建设土地评估工作</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按照党中央国务院、省委省政府和州委州政府关于耕地保护的决策部署和工作安排，根据《中华人民共和国土地管理法》《中华人民共和国土地管理实施条例》《中华人民共和国城乡规划法》等相关法律法规，结合我县实际，决定在全县开展耕地保护和违法用地专项整治，对国有建设用地上的违法用地和违法建设作出补交出让金和行政罚款，为确保补交出让金和行政罚款的规范性、准确性和专业性，在维护执法权威的同时，最大程度保护当事人的合法利益，现拟采购一家专业评估公司作为违法用地和违法建设评估年度服务单位，本项目涉及全县200宗国有土地上的违建（土地面积约：255亩，建筑面积约295738平方米）。</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行政主管部门颁发的土地估价机构备案函、在有效期内的三级及以上房地产估价机构备案证书、资产评估机构备案公告。（描述：提供复印件加盖鲜章）（描述：供应商须具有行政主管部门颁发的土地估价机构备案函、在有效期内的三级及以上房地产估价机构备案证书、资产评估机构备案公告。（描述：提供复印件加盖鲜章））</w:t>
      </w:r>
    </w:p>
    <w:p>
      <w:pPr>
        <w:pStyle w:val="null3"/>
        <w:jc w:val="left"/>
      </w:pPr>
      <w:r>
        <w:rPr>
          <w:rFonts w:ascii="仿宋_GB2312" w:hAnsi="仿宋_GB2312" w:cs="仿宋_GB2312" w:eastAsia="仿宋_GB2312"/>
        </w:rPr>
        <w:t>2、本项目允许联合体参加。（描述：允许供应商组成联合体参与竞争性磋商，联合体成员（含牵头人）不得超过2家，联合体各方应签订联合体投标协议书，明确联合体牵头人和各方权利义务，联合体各方不得再以自己名义单独或参加其他联合体在本次招标中投标，否则，相关投标均视为无效。）</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布拖县自然资源局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布拖县火普巷2号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俄底老师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18228792702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四川畅鑫工程项目管理有限公司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四川省西昌市胜利北路190附11号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0834-2338389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采购包1：1,275,000.00元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代理服务费参照国家财政部、国家计委、国家物价局国家发改委【2003】857号、发改法规【2015】299号等文件规定的精神收取。招标代理服务费不单独报价，由供应商综合考虑入投标报价。由成交供应商领取成交通知书时一次性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布拖县自然资源局</w:t>
      </w:r>
      <w:r>
        <w:rPr>
          <w:rFonts w:ascii="仿宋_GB2312" w:hAnsi="仿宋_GB2312" w:cs="仿宋_GB2312" w:eastAsia="仿宋_GB2312"/>
        </w:rPr>
        <w:t xml:space="preserve"> 和 </w:t>
      </w:r>
      <w:r>
        <w:rPr>
          <w:rFonts w:ascii="仿宋_GB2312" w:hAnsi="仿宋_GB2312" w:cs="仿宋_GB2312" w:eastAsia="仿宋_GB2312"/>
        </w:rPr>
        <w:t>四川畅鑫工程项目管理有限公司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布拖县自然资源局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四川畅鑫工程项目管理有限公司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达到验收条件起 </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按照本文件中的技术要求进行验收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按照本文件中的商务要求进行验收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按国家有关规定以及采购人磋商文件的质量要求和技术指标、成交供应商的响应文件及承诺与本合同约定标准进行验收；采购人、成交供应商双方如对质量要求和技术指标的约定标准有相互抵触或异议的事项，由采购人在磋商与响应文件中按质量要求和技术指标比较优胜的原则确定该项的约定标准进行验收。 （2）其他未尽事宜应严格按照政府采购相关法律法规、《财政部关于进一步加强政府采购需求和履约验收管理的指导意见》（财库〔2016〕205号）的要求及国家行业主管部门规定的标准、方法和内容组织验收。 （3）验收结果合格的，成交供应商凭验收报告办理相关手续；验收结果不合格且拒不整改的，按《中华人民共和国民法典》追究成交供应商违约责任，并报告本项目同级财政部门按照政府采购法律法规有关规定给予行政处罚或者以失信行为记入诚信档案。</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布拖县自然资源局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四川畅鑫工程项目管理有限公司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四川畅鑫工程项目管理有限公司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联系电话：0834-2338389</w:t>
      </w:r>
    </w:p>
    <w:p>
      <w:pPr>
        <w:pStyle w:val="null3"/>
        <w:jc w:val="left"/>
      </w:pPr>
      <w:r>
        <w:rPr>
          <w:rFonts w:ascii="仿宋_GB2312" w:hAnsi="仿宋_GB2312" w:cs="仿宋_GB2312" w:eastAsia="仿宋_GB2312"/>
        </w:rPr>
        <w:t>地址：西昌市胜利北路190附11号</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1,275,000.00</w:t>
      </w:r>
    </w:p>
    <w:p>
      <w:pPr>
        <w:pStyle w:val="null3"/>
        <w:jc w:val="left"/>
      </w:pPr>
      <w:r>
        <w:rPr>
          <w:rFonts w:ascii="仿宋_GB2312" w:hAnsi="仿宋_GB2312" w:cs="仿宋_GB2312" w:eastAsia="仿宋_GB2312"/>
        </w:rPr>
        <w:t>采购包最高限价（元）: 1,275,000.00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布拖县存量违法用地和违法建设土地评估工作</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1,275,000.00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布拖县存量违法用地和违法建设土地评估工作</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1,275,000.00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标的名称：布拖县存量违法用地和违法建设土地评估工作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left="420" w:firstLine="480"/>
              <w:jc w:val="both"/>
            </w:pPr>
            <w:r>
              <w:rPr>
                <w:rFonts w:ascii="仿宋_GB2312" w:hAnsi="仿宋_GB2312" w:cs="仿宋_GB2312" w:eastAsia="仿宋_GB2312"/>
                <w:sz w:val="24"/>
              </w:rPr>
              <w:t>在服务期间，技术单位需及时响应我局开展违法用地和违法建设评估相关工作，对指定违法用地和违法建设评估并出具相应报告。具体工作内容如下：</w:t>
            </w:r>
          </w:p>
          <w:p>
            <w:pPr>
              <w:pStyle w:val="null3"/>
              <w:ind w:left="420" w:firstLine="480"/>
              <w:jc w:val="both"/>
            </w:pPr>
            <w:r>
              <w:rPr>
                <w:rFonts w:ascii="仿宋_GB2312" w:hAnsi="仿宋_GB2312" w:cs="仿宋_GB2312" w:eastAsia="仿宋_GB2312"/>
                <w:sz w:val="24"/>
              </w:rPr>
              <w:t>1.</w:t>
            </w:r>
            <w:r>
              <w:rPr>
                <w:rFonts w:ascii="仿宋_GB2312" w:hAnsi="仿宋_GB2312" w:cs="仿宋_GB2312" w:eastAsia="仿宋_GB2312"/>
                <w:sz w:val="24"/>
              </w:rPr>
              <w:t>评估内容：对已被上级部门、我局等相关单位审核确定的违法用地和违法建设，组织实施实地勘察，依据测绘建筑面积结果结合建筑物实际情况评估补交出让金和行政罚款，并出具报告。报告内容包含但不限于违法用地和违法建设的补交出让金额及详细行政罚款组成、体现建筑物实际情况的照片、违法建筑的地理位置等，具体以采购人要求为准。</w:t>
            </w:r>
          </w:p>
          <w:p>
            <w:pPr>
              <w:pStyle w:val="null3"/>
              <w:ind w:left="420" w:firstLine="480"/>
              <w:jc w:val="both"/>
            </w:pPr>
            <w:r>
              <w:rPr>
                <w:rFonts w:ascii="仿宋_GB2312" w:hAnsi="仿宋_GB2312" w:cs="仿宋_GB2312" w:eastAsia="仿宋_GB2312"/>
                <w:sz w:val="24"/>
              </w:rPr>
              <w:t>2.</w:t>
            </w:r>
            <w:r>
              <w:rPr>
                <w:rFonts w:ascii="仿宋_GB2312" w:hAnsi="仿宋_GB2312" w:cs="仿宋_GB2312" w:eastAsia="仿宋_GB2312"/>
                <w:sz w:val="24"/>
              </w:rPr>
              <w:t>评估类型：服务单位评估后作出的违法用地和违法建设评估结论须具有法律效力，并为该结论的客观性、真实性、合法性负责。</w:t>
            </w:r>
          </w:p>
          <w:p>
            <w:pPr>
              <w:pStyle w:val="null3"/>
              <w:ind w:left="420" w:firstLine="480"/>
              <w:jc w:val="both"/>
            </w:pPr>
            <w:r>
              <w:rPr>
                <w:rFonts w:ascii="仿宋_GB2312" w:hAnsi="仿宋_GB2312" w:cs="仿宋_GB2312" w:eastAsia="仿宋_GB2312"/>
                <w:sz w:val="24"/>
              </w:rPr>
              <w:t>3.</w:t>
            </w:r>
            <w:r>
              <w:rPr>
                <w:rFonts w:ascii="仿宋_GB2312" w:hAnsi="仿宋_GB2312" w:cs="仿宋_GB2312" w:eastAsia="仿宋_GB2312"/>
                <w:sz w:val="24"/>
              </w:rPr>
              <w:t>违法用地和违法建设评估标准：所提供服务的质量要求需达到国家规范标准，质量等级为合格标准。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布拖县，采购人指定地点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按国家有关规定以及采购人磋商文件的质量要求和技术指标、成交供应商的响应文件及承诺与本合同约定标准进行验收；采购人、成交供应商双方如对质量要求和技术指标的约定标准有相互抵触或异议的事项，由采购人在磋商与响应文件中按质量要求和技术指标比较优胜的原则确定该项的约定标准进行验收。 （2）其他未尽事宜应严格按照政府采购相关法律法规、《财政部关于进一步加强政府采购需求和履约验收管理的指导意见》（财库〔2016〕205号）的要求及国家行业主管部门规定的标准、方法和内容组织验收。 （3）验收结果合格的，成交供应商凭验收报告办理相关手续；验收结果不合格且拒不整改的，按《中华人民共和国民法典》追究成交供应商违约责任，并报告本项目同级财政部门按照政府采购法律法规有关规定给予行政处罚或者以失信行为记入诚信档案。</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1、签订合同后，达到付款条件起7日内，支付合同总金额的40.00%</w:t>
            </w:r>
          </w:p>
          <w:p>
            <w:pPr>
              <w:pStyle w:val="null3"/>
              <w:jc w:val="left"/>
            </w:pPr>
            <w:r>
              <w:rPr>
                <w:rFonts w:ascii="仿宋_GB2312" w:hAnsi="仿宋_GB2312" w:cs="仿宋_GB2312" w:eastAsia="仿宋_GB2312"/>
              </w:rPr>
              <w:t>2、项目完成达到80%后且达到付款条件起，达到付款条件起7日内，支付合同总金额的40.00%</w:t>
            </w:r>
          </w:p>
          <w:p>
            <w:pPr>
              <w:pStyle w:val="null3"/>
              <w:jc w:val="left"/>
            </w:pPr>
            <w:r>
              <w:rPr>
                <w:rFonts w:ascii="仿宋_GB2312" w:hAnsi="仿宋_GB2312" w:cs="仿宋_GB2312" w:eastAsia="仿宋_GB2312"/>
              </w:rPr>
              <w:t>3、提交最终成果文件后且达到付款条件起，达到付款条件起7日内，支付合同总金额的20.00%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违约责任：（1）甲乙双方必须遵守本合同并执行合同中的各项规定，保证本合同的 正常履行；（2）如因乙方工作人员在履行职务过程中的的疏忽、失职、过错等故意 或者过失原因给甲方造成损失或侵害，包括但不限于甲方本身的财产损失、由此而导 致的甲方对任何第三方的法律责任等，乙方对此均应承担全部的赔偿责任。 争议：（ 1）协商：双方应本着诚实信用的原则协商解决本合同履行过程中发生的争议；（2） 调解：如果双方不能在14日内或双方商定的其他时间内解决本合同争议，可以将其提 交给专用条件约定的或事后达成协议的调解人进行调解；（3）仲裁或诉讼：双方均 有权不经调解直接向专用条件约定的仲裁机构申请仲裁或向有管辖权的人民法院提起 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安全要求：供应商需承诺在开展项目过程中，一切安全事故全部由成交供应商负责，因事故所产生的一切赔付和善后均由成交供应商负责，采购人不承担任何经济和法律责任。（提供承诺函，格式自拟）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若为企业法人：提供“统一社会信用代码营业执照”；未换证的提供“营业执照、税务登记证、组织机构代码证”；（2）若为事业法人：提供“统一社会信用代码法人登记证书”；未换证的提交“事业法人登记证书、组织机构代码证”；（3）若为其他组织：提供“对应主管部门颁发的准许执业证明文件或营业执照或其他证明材料”；（4）若为自然人：提供“身份证明材料”。注：1）以上证明材料应满足此条要求①发证机关有年检要求的，应按规定通过年检；②在有效期内；③复印件加盖投标人公章；（2）投标人若已更换为三证合一的则提供营业执照副本复印件，事业单位提供事业单位法人证书，其他组织提供营业执照等证明文件，自然人提供身份证明均具备此条同等效力；3）根据国务院办公厅关于加快推进“多证合一”改革的指导意见（国办发〔2017〕41号）等政策要求，若资格要求涉及的登记、备案等有关事项和各类证照已实行多证合一的，提供多证合一证照副本复印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①提供2021以来任意一年度经过会计师事务所审计的财务报告（财务审计报告至少包含三表一附注）；也可提供2021以来任意一年度供应商内部的财务报表复印件（至少包含资产负债表、利润表、现金流量表）；</w:t>
              <w:br/>
              <w:t>②银行出具的资信证明；</w:t>
              <w:br/>
              <w:t>③成立时间不足一年的提供工商备案的公司章程；</w:t>
              <w:br/>
              <w:t>④可提供承诺函</w:t>
              <w:br/>
              <w:t>注：以上①②③④项具有同等的投标效力，提供任一项均可，按要求上传相应证明材料并进行电子签章。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供应商须具有行政主管部门颁发的土地估价机构备案函、在有效期内的三级及以上房地产估价机构备案证书、资产评估机构备案公告。（描述：提供复印件加盖鲜章）</w:t>
            </w:r>
          </w:p>
        </w:tc>
        <w:tc>
          <w:tcPr>
            <w:tcW w:type="dxa" w:w="3322"/>
          </w:tcPr>
          <w:p>
            <w:pPr>
              <w:pStyle w:val="null3"/>
              <w:jc w:val="left"/>
            </w:pPr>
            <w:r>
              <w:rPr>
                <w:rFonts w:ascii="仿宋_GB2312" w:hAnsi="仿宋_GB2312" w:cs="仿宋_GB2312" w:eastAsia="仿宋_GB2312"/>
              </w:rPr>
              <w:t>供应商须具有行政主管部门颁发的土地估价机构备案函、在有效期内的三级及以上房地产估价机构备案证书、资产评估机构备案公告。（描述：提供复印件加盖鲜章）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本项目允许联合体参加。</w:t>
            </w:r>
          </w:p>
        </w:tc>
        <w:tc>
          <w:tcPr>
            <w:tcW w:type="dxa" w:w="3322"/>
          </w:tcPr>
          <w:p>
            <w:pPr>
              <w:pStyle w:val="null3"/>
              <w:jc w:val="left"/>
            </w:pPr>
            <w:r>
              <w:rPr>
                <w:rFonts w:ascii="仿宋_GB2312" w:hAnsi="仿宋_GB2312" w:cs="仿宋_GB2312" w:eastAsia="仿宋_GB2312"/>
              </w:rPr>
              <w:t>允许供应商组成联合体参与竞争性磋商，联合体成员（含牵头人）不得超过2家，联合体各方应签订联合体投标协议书，明确联合体牵头人和各方权利义务，联合体各方不得再以自己名义单独或参加其他联合体在本次招标中投标，否则，相关投标均视为无效。</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符合性要求</w:t>
            </w:r>
          </w:p>
        </w:tc>
        <w:tc>
          <w:tcPr>
            <w:tcW w:type="dxa" w:w="3322"/>
          </w:tcPr>
          <w:p>
            <w:pPr>
              <w:pStyle w:val="null3"/>
              <w:jc w:val="left"/>
            </w:pPr>
            <w:r>
              <w:rPr>
                <w:rFonts w:ascii="仿宋_GB2312" w:hAnsi="仿宋_GB2312" w:cs="仿宋_GB2312" w:eastAsia="仿宋_GB2312"/>
              </w:rPr>
              <w:t>本招标文件中符号标识“★”要求为实质性要求。 供应商应当在响应文件中进行实质性响应，否则作无效响应处理。</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供应商针对本项目提供的项目实施方案包含①项目需求分析；②工作计划与进度安排；③数据保密措施；④机构设置及人员安排；⑤应急预案等⑥重点难点分析及解决方法，六个方面的内容。根据供应商针对上述五个方面内容在响应文件中的响应情况进行综合评审：以上内容满足要求的得30分，每缺少一项扣5分；每有一处缺陷的扣2.5分，本项扣完为止。 注：内容缺陷指：内容不全面或过于简单，内容逻辑混乱或科学性或原理性错误，内容具体实施不合理，内容空洞或内容没有相关依据作为佐证材料或依据不真实、无效内容。</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评估技术方案</w:t>
            </w:r>
          </w:p>
        </w:tc>
        <w:tc>
          <w:tcPr>
            <w:tcW w:type="dxa" w:w="2575"/>
          </w:tcPr>
          <w:p>
            <w:pPr>
              <w:pStyle w:val="null3"/>
              <w:jc w:val="left"/>
            </w:pPr>
            <w:r>
              <w:rPr>
                <w:rFonts w:ascii="仿宋_GB2312" w:hAnsi="仿宋_GB2312" w:cs="仿宋_GB2312" w:eastAsia="仿宋_GB2312"/>
              </w:rPr>
              <w:t>供应商针对本项目提供的项目方案包含①估价方法的选用；②技术思路；③质量保障措施；④后续服务措施等四个方面的内容。根据供应商针对上述两个方面内容在响应文件中的响应情况进行综合评审：以上内容满足要求的得20分，每缺少一项扣5分；每一项方案内容中每有一处缺陷的扣2.5分，本项扣完为止。 注：内容缺陷指：内容不全面或过于简单，内容逻辑混乱或科学性或原理性错误，内容具体实施不合理，内容空洞或内容没有相关依据作为佐证材料或依据不真实、无效内容。</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1、项目负责人（1人）：①具有房地产估价师证书得4分，②具有土地估价师证书得4分，③具有资产评估师证书得2分；在此基础上具有中级职称证书加2分，高级及以上职称证书加4分，本项最高得14分。 2、技术负责人（1人）：①具有房地产估价师证书得4分，②具有土地估价师证书得4分，③具有资产评估师证书得2分，本项最高得10分。 3、项目组成人员：每具有1名房地产估价师人员或土地估价师人员的得1分，本项最高得6分。 注：1.提供上述人员需提供在职证明材料及相关证书复印件加盖供应商公章，未提供不得分。 2.上述人员不得重复计分。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根据供应商提供的2020年1月1日（含）以来类似履约经验（类似履约经验指土地评估或房地产评估项目）进行计分，提供1个得5分，每增加一个加2.5分，本项最多得10分。 注：提供项目合同或中标/成交通知书复印件。</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