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8C077F">
      <w:pPr>
        <w:pStyle w:val="4"/>
        <w:ind w:firstLine="480"/>
        <w:jc w:val="left"/>
      </w:pPr>
      <w:r>
        <w:rPr>
          <w:rFonts w:ascii="仿宋_GB2312" w:hAnsi="仿宋_GB2312" w:eastAsia="仿宋_GB2312" w:cs="仿宋_GB2312"/>
        </w:rPr>
        <w:t>（注：本章的技术、服务及其他要求中，带“★”的要求为实质性要求。采购人、代理机构应当根据项目实际要求合理设定，并在第五章符合性审查中明确响应要求。）</w:t>
      </w:r>
    </w:p>
    <w:p w14:paraId="48CF6786">
      <w:pPr>
        <w:pStyle w:val="4"/>
        <w:jc w:val="left"/>
        <w:outlineLvl w:val="2"/>
      </w:pPr>
      <w:r>
        <w:rPr>
          <w:rFonts w:ascii="仿宋_GB2312" w:hAnsi="仿宋_GB2312" w:eastAsia="仿宋_GB2312" w:cs="仿宋_GB2312"/>
          <w:b/>
          <w:sz w:val="28"/>
        </w:rPr>
        <w:t>3.1.采购内容</w:t>
      </w:r>
    </w:p>
    <w:p w14:paraId="04A558D1">
      <w:pPr>
        <w:pStyle w:val="4"/>
        <w:jc w:val="left"/>
      </w:pPr>
      <w:r>
        <w:rPr>
          <w:rFonts w:ascii="仿宋_GB2312" w:hAnsi="仿宋_GB2312" w:eastAsia="仿宋_GB2312" w:cs="仿宋_GB2312"/>
        </w:rPr>
        <w:t>采购包1：</w:t>
      </w:r>
    </w:p>
    <w:p w14:paraId="515A2F66">
      <w:pPr>
        <w:pStyle w:val="4"/>
        <w:jc w:val="left"/>
      </w:pPr>
      <w:r>
        <w:rPr>
          <w:rFonts w:ascii="仿宋_GB2312" w:hAnsi="仿宋_GB2312" w:eastAsia="仿宋_GB2312" w:cs="仿宋_GB2312"/>
        </w:rPr>
        <w:t>采购包预算金额（元）: 355,736.00</w:t>
      </w:r>
    </w:p>
    <w:p w14:paraId="70B1A57A">
      <w:pPr>
        <w:pStyle w:val="4"/>
        <w:jc w:val="left"/>
      </w:pPr>
      <w:r>
        <w:rPr>
          <w:rFonts w:ascii="仿宋_GB2312" w:hAnsi="仿宋_GB2312" w:eastAsia="仿宋_GB2312" w:cs="仿宋_GB2312"/>
        </w:rPr>
        <w:t>采购包最高限价（元）: 350,000.00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49"/>
        <w:gridCol w:w="1116"/>
        <w:gridCol w:w="745"/>
        <w:gridCol w:w="820"/>
        <w:gridCol w:w="1216"/>
        <w:gridCol w:w="745"/>
        <w:gridCol w:w="745"/>
        <w:gridCol w:w="745"/>
        <w:gridCol w:w="745"/>
        <w:gridCol w:w="598"/>
        <w:gridCol w:w="598"/>
      </w:tblGrid>
      <w:tr w14:paraId="29534A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6AC3E95C">
            <w:pPr>
              <w:pStyle w:val="4"/>
              <w:jc w:val="center"/>
            </w:pPr>
            <w:r>
              <w:rPr>
                <w:rFonts w:ascii="仿宋_GB2312" w:hAnsi="仿宋_GB2312" w:eastAsia="仿宋_GB2312" w:cs="仿宋_GB2312"/>
              </w:rPr>
              <w:t>序号</w:t>
            </w:r>
          </w:p>
        </w:tc>
        <w:tc>
          <w:tcPr>
            <w:tcW w:w="821" w:type="dxa"/>
          </w:tcPr>
          <w:p w14:paraId="23CA1D17">
            <w:pPr>
              <w:pStyle w:val="4"/>
              <w:jc w:val="center"/>
            </w:pPr>
            <w:r>
              <w:rPr>
                <w:rFonts w:ascii="仿宋_GB2312" w:hAnsi="仿宋_GB2312" w:eastAsia="仿宋_GB2312" w:cs="仿宋_GB2312"/>
              </w:rPr>
              <w:t>采购品目名称</w:t>
            </w:r>
          </w:p>
        </w:tc>
        <w:tc>
          <w:tcPr>
            <w:tcW w:w="821" w:type="dxa"/>
          </w:tcPr>
          <w:p w14:paraId="28FCDE74">
            <w:pPr>
              <w:pStyle w:val="4"/>
              <w:jc w:val="center"/>
            </w:pPr>
            <w:r>
              <w:rPr>
                <w:rFonts w:ascii="仿宋_GB2312" w:hAnsi="仿宋_GB2312" w:eastAsia="仿宋_GB2312" w:cs="仿宋_GB2312"/>
              </w:rPr>
              <w:t>标的名称</w:t>
            </w:r>
          </w:p>
        </w:tc>
        <w:tc>
          <w:tcPr>
            <w:tcW w:w="821" w:type="dxa"/>
          </w:tcPr>
          <w:p w14:paraId="20E6E213">
            <w:pPr>
              <w:pStyle w:val="4"/>
              <w:jc w:val="center"/>
            </w:pPr>
            <w:r>
              <w:rPr>
                <w:rFonts w:ascii="仿宋_GB2312" w:hAnsi="仿宋_GB2312" w:eastAsia="仿宋_GB2312" w:cs="仿宋_GB2312"/>
              </w:rPr>
              <w:t>数量</w:t>
            </w:r>
            <w:r>
              <w:br w:type="textWrapping"/>
            </w:r>
            <w:r>
              <w:rPr>
                <w:rFonts w:ascii="仿宋_GB2312" w:hAnsi="仿宋_GB2312" w:eastAsia="仿宋_GB2312" w:cs="仿宋_GB2312"/>
              </w:rPr>
              <w:t>(计量单位)</w:t>
            </w:r>
          </w:p>
        </w:tc>
        <w:tc>
          <w:tcPr>
            <w:tcW w:w="821" w:type="dxa"/>
          </w:tcPr>
          <w:p w14:paraId="329EEACB">
            <w:pPr>
              <w:pStyle w:val="4"/>
              <w:jc w:val="center"/>
            </w:pPr>
            <w:r>
              <w:rPr>
                <w:rFonts w:ascii="仿宋_GB2312" w:hAnsi="仿宋_GB2312" w:eastAsia="仿宋_GB2312" w:cs="仿宋_GB2312"/>
              </w:rPr>
              <w:t>标的金额 （元）</w:t>
            </w:r>
          </w:p>
        </w:tc>
        <w:tc>
          <w:tcPr>
            <w:tcW w:w="821" w:type="dxa"/>
          </w:tcPr>
          <w:p w14:paraId="1EE4A787">
            <w:pPr>
              <w:pStyle w:val="4"/>
              <w:jc w:val="center"/>
            </w:pPr>
            <w:r>
              <w:rPr>
                <w:rFonts w:ascii="仿宋_GB2312" w:hAnsi="仿宋_GB2312" w:eastAsia="仿宋_GB2312" w:cs="仿宋_GB2312"/>
              </w:rPr>
              <w:t>所属行业</w:t>
            </w:r>
          </w:p>
        </w:tc>
        <w:tc>
          <w:tcPr>
            <w:tcW w:w="821" w:type="dxa"/>
          </w:tcPr>
          <w:p w14:paraId="5912F5F5">
            <w:pPr>
              <w:pStyle w:val="4"/>
              <w:jc w:val="center"/>
            </w:pPr>
            <w:r>
              <w:rPr>
                <w:rFonts w:ascii="仿宋_GB2312" w:hAnsi="仿宋_GB2312" w:eastAsia="仿宋_GB2312" w:cs="仿宋_GB2312"/>
              </w:rPr>
              <w:t>是否涉及核心产品</w:t>
            </w:r>
          </w:p>
        </w:tc>
        <w:tc>
          <w:tcPr>
            <w:tcW w:w="821" w:type="dxa"/>
          </w:tcPr>
          <w:p w14:paraId="3ADB0EB0">
            <w:pPr>
              <w:pStyle w:val="4"/>
              <w:jc w:val="center"/>
            </w:pPr>
            <w:r>
              <w:rPr>
                <w:rFonts w:ascii="仿宋_GB2312" w:hAnsi="仿宋_GB2312" w:eastAsia="仿宋_GB2312" w:cs="仿宋_GB2312"/>
              </w:rPr>
              <w:t>是否涉及采购进口产品</w:t>
            </w:r>
          </w:p>
        </w:tc>
        <w:tc>
          <w:tcPr>
            <w:tcW w:w="821" w:type="dxa"/>
          </w:tcPr>
          <w:p w14:paraId="0EF5993C">
            <w:pPr>
              <w:pStyle w:val="4"/>
              <w:jc w:val="center"/>
            </w:pPr>
            <w:r>
              <w:rPr>
                <w:rFonts w:ascii="仿宋_GB2312" w:hAnsi="仿宋_GB2312" w:eastAsia="仿宋_GB2312" w:cs="仿宋_GB2312"/>
              </w:rPr>
              <w:t>是否涉及强制采购节能产品</w:t>
            </w:r>
          </w:p>
        </w:tc>
        <w:tc>
          <w:tcPr>
            <w:tcW w:w="639" w:type="dxa"/>
          </w:tcPr>
          <w:p w14:paraId="3F88CBDF">
            <w:pPr>
              <w:pStyle w:val="4"/>
              <w:jc w:val="center"/>
            </w:pPr>
            <w:r>
              <w:rPr>
                <w:rFonts w:ascii="仿宋_GB2312" w:hAnsi="仿宋_GB2312" w:eastAsia="仿宋_GB2312" w:cs="仿宋_GB2312"/>
              </w:rPr>
              <w:t>是否涉及优先采购节能产品</w:t>
            </w:r>
          </w:p>
        </w:tc>
        <w:tc>
          <w:tcPr>
            <w:tcW w:w="639" w:type="dxa"/>
          </w:tcPr>
          <w:p w14:paraId="6F58CB7A">
            <w:pPr>
              <w:pStyle w:val="4"/>
              <w:jc w:val="center"/>
            </w:pPr>
            <w:r>
              <w:rPr>
                <w:rFonts w:ascii="仿宋_GB2312" w:hAnsi="仿宋_GB2312" w:eastAsia="仿宋_GB2312" w:cs="仿宋_GB2312"/>
              </w:rPr>
              <w:t>是否涉及优先采购环境标志产品</w:t>
            </w:r>
          </w:p>
        </w:tc>
      </w:tr>
      <w:tr w14:paraId="476F70F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786C6109">
            <w:pPr>
              <w:pStyle w:val="4"/>
              <w:jc w:val="left"/>
            </w:pPr>
            <w:r>
              <w:rPr>
                <w:rFonts w:ascii="仿宋_GB2312" w:hAnsi="仿宋_GB2312" w:eastAsia="仿宋_GB2312" w:cs="仿宋_GB2312"/>
              </w:rPr>
              <w:t>1</w:t>
            </w:r>
          </w:p>
        </w:tc>
        <w:tc>
          <w:tcPr>
            <w:tcW w:w="821" w:type="dxa"/>
          </w:tcPr>
          <w:p w14:paraId="1FE43F8B">
            <w:pPr>
              <w:pStyle w:val="4"/>
              <w:jc w:val="left"/>
            </w:pPr>
            <w:r>
              <w:rPr>
                <w:rFonts w:ascii="仿宋_GB2312" w:hAnsi="仿宋_GB2312" w:eastAsia="仿宋_GB2312" w:cs="仿宋_GB2312"/>
              </w:rPr>
              <w:t>A02061910 路灯</w:t>
            </w:r>
          </w:p>
        </w:tc>
        <w:tc>
          <w:tcPr>
            <w:tcW w:w="821" w:type="dxa"/>
          </w:tcPr>
          <w:p w14:paraId="5BF2C29E">
            <w:pPr>
              <w:pStyle w:val="4"/>
              <w:jc w:val="left"/>
            </w:pPr>
            <w:r>
              <w:rPr>
                <w:rFonts w:ascii="仿宋_GB2312" w:hAnsi="仿宋_GB2312" w:eastAsia="仿宋_GB2312" w:cs="仿宋_GB2312"/>
              </w:rPr>
              <w:t>路灯</w:t>
            </w:r>
          </w:p>
        </w:tc>
        <w:tc>
          <w:tcPr>
            <w:tcW w:w="821" w:type="dxa"/>
          </w:tcPr>
          <w:p w14:paraId="2608E8EB">
            <w:pPr>
              <w:pStyle w:val="4"/>
              <w:jc w:val="right"/>
            </w:pPr>
            <w:r>
              <w:rPr>
                <w:rFonts w:ascii="仿宋_GB2312" w:hAnsi="仿宋_GB2312" w:eastAsia="仿宋_GB2312" w:cs="仿宋_GB2312"/>
              </w:rPr>
              <w:t>1.00（项）</w:t>
            </w:r>
          </w:p>
        </w:tc>
        <w:tc>
          <w:tcPr>
            <w:tcW w:w="821" w:type="dxa"/>
          </w:tcPr>
          <w:p w14:paraId="5B244720">
            <w:pPr>
              <w:pStyle w:val="4"/>
              <w:jc w:val="right"/>
            </w:pPr>
            <w:r>
              <w:rPr>
                <w:rFonts w:ascii="仿宋_GB2312" w:hAnsi="仿宋_GB2312" w:eastAsia="仿宋_GB2312" w:cs="仿宋_GB2312"/>
              </w:rPr>
              <w:t>350,000.00</w:t>
            </w:r>
          </w:p>
        </w:tc>
        <w:tc>
          <w:tcPr>
            <w:tcW w:w="821" w:type="dxa"/>
          </w:tcPr>
          <w:p w14:paraId="2F459CB2">
            <w:pPr>
              <w:pStyle w:val="4"/>
              <w:jc w:val="left"/>
            </w:pPr>
            <w:r>
              <w:rPr>
                <w:rFonts w:ascii="仿宋_GB2312" w:hAnsi="仿宋_GB2312" w:eastAsia="仿宋_GB2312" w:cs="仿宋_GB2312"/>
              </w:rPr>
              <w:t>工业</w:t>
            </w:r>
          </w:p>
        </w:tc>
        <w:tc>
          <w:tcPr>
            <w:tcW w:w="821" w:type="dxa"/>
          </w:tcPr>
          <w:p w14:paraId="1FF7C3F8">
            <w:pPr>
              <w:pStyle w:val="4"/>
              <w:jc w:val="left"/>
            </w:pPr>
            <w:r>
              <w:rPr>
                <w:rFonts w:ascii="仿宋_GB2312" w:hAnsi="仿宋_GB2312" w:eastAsia="仿宋_GB2312" w:cs="仿宋_GB2312"/>
              </w:rPr>
              <w:t>是</w:t>
            </w:r>
          </w:p>
        </w:tc>
        <w:tc>
          <w:tcPr>
            <w:tcW w:w="821" w:type="dxa"/>
          </w:tcPr>
          <w:p w14:paraId="71E1423A">
            <w:pPr>
              <w:pStyle w:val="4"/>
              <w:jc w:val="left"/>
            </w:pPr>
            <w:r>
              <w:rPr>
                <w:rFonts w:ascii="仿宋_GB2312" w:hAnsi="仿宋_GB2312" w:eastAsia="仿宋_GB2312" w:cs="仿宋_GB2312"/>
              </w:rPr>
              <w:t>否</w:t>
            </w:r>
          </w:p>
        </w:tc>
        <w:tc>
          <w:tcPr>
            <w:tcW w:w="821" w:type="dxa"/>
          </w:tcPr>
          <w:p w14:paraId="73746052">
            <w:pPr>
              <w:pStyle w:val="4"/>
              <w:jc w:val="left"/>
            </w:pPr>
            <w:r>
              <w:rPr>
                <w:rFonts w:ascii="仿宋_GB2312" w:hAnsi="仿宋_GB2312" w:eastAsia="仿宋_GB2312" w:cs="仿宋_GB2312"/>
              </w:rPr>
              <w:t>否</w:t>
            </w:r>
          </w:p>
        </w:tc>
        <w:tc>
          <w:tcPr>
            <w:tcW w:w="639" w:type="dxa"/>
          </w:tcPr>
          <w:p w14:paraId="7C4D4C30">
            <w:pPr>
              <w:pStyle w:val="4"/>
              <w:jc w:val="left"/>
            </w:pPr>
            <w:r>
              <w:rPr>
                <w:rFonts w:ascii="仿宋_GB2312" w:hAnsi="仿宋_GB2312" w:eastAsia="仿宋_GB2312" w:cs="仿宋_GB2312"/>
              </w:rPr>
              <w:t>否</w:t>
            </w:r>
          </w:p>
        </w:tc>
        <w:tc>
          <w:tcPr>
            <w:tcW w:w="639" w:type="dxa"/>
          </w:tcPr>
          <w:p w14:paraId="5BFBDF07">
            <w:pPr>
              <w:pStyle w:val="4"/>
              <w:jc w:val="left"/>
            </w:pPr>
            <w:r>
              <w:rPr>
                <w:rFonts w:ascii="仿宋_GB2312" w:hAnsi="仿宋_GB2312" w:eastAsia="仿宋_GB2312" w:cs="仿宋_GB2312"/>
              </w:rPr>
              <w:t>否</w:t>
            </w:r>
          </w:p>
        </w:tc>
      </w:tr>
    </w:tbl>
    <w:p w14:paraId="66560B9A">
      <w:pPr>
        <w:pStyle w:val="4"/>
        <w:jc w:val="left"/>
        <w:outlineLvl w:val="3"/>
      </w:pPr>
      <w:r>
        <w:rPr>
          <w:rFonts w:ascii="仿宋_GB2312" w:hAnsi="仿宋_GB2312" w:eastAsia="仿宋_GB2312" w:cs="仿宋_GB2312"/>
          <w:b/>
          <w:sz w:val="24"/>
        </w:rPr>
        <w:t>报价要求</w:t>
      </w:r>
    </w:p>
    <w:p w14:paraId="57FE929A">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84"/>
        <w:gridCol w:w="1759"/>
        <w:gridCol w:w="977"/>
        <w:gridCol w:w="977"/>
        <w:gridCol w:w="1466"/>
        <w:gridCol w:w="977"/>
        <w:gridCol w:w="1466"/>
      </w:tblGrid>
      <w:tr w14:paraId="6817325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4" w:type="dxa"/>
          </w:tcPr>
          <w:p w14:paraId="2E66AFB7">
            <w:pPr>
              <w:pStyle w:val="4"/>
              <w:jc w:val="center"/>
            </w:pPr>
            <w:r>
              <w:rPr>
                <w:rFonts w:ascii="仿宋_GB2312" w:hAnsi="仿宋_GB2312" w:eastAsia="仿宋_GB2312" w:cs="仿宋_GB2312"/>
              </w:rPr>
              <w:t>序号</w:t>
            </w:r>
          </w:p>
        </w:tc>
        <w:tc>
          <w:tcPr>
            <w:tcW w:w="1759" w:type="dxa"/>
          </w:tcPr>
          <w:p w14:paraId="58EFE54D">
            <w:pPr>
              <w:pStyle w:val="4"/>
              <w:jc w:val="center"/>
            </w:pPr>
            <w:r>
              <w:rPr>
                <w:rFonts w:ascii="仿宋_GB2312" w:hAnsi="仿宋_GB2312" w:eastAsia="仿宋_GB2312" w:cs="仿宋_GB2312"/>
              </w:rPr>
              <w:t>报价内容</w:t>
            </w:r>
          </w:p>
        </w:tc>
        <w:tc>
          <w:tcPr>
            <w:tcW w:w="977" w:type="dxa"/>
          </w:tcPr>
          <w:p w14:paraId="19C15C37">
            <w:pPr>
              <w:pStyle w:val="4"/>
              <w:jc w:val="center"/>
            </w:pPr>
            <w:r>
              <w:rPr>
                <w:rFonts w:ascii="仿宋_GB2312" w:hAnsi="仿宋_GB2312" w:eastAsia="仿宋_GB2312" w:cs="仿宋_GB2312"/>
              </w:rPr>
              <w:t>计量单位</w:t>
            </w:r>
          </w:p>
        </w:tc>
        <w:tc>
          <w:tcPr>
            <w:tcW w:w="977" w:type="dxa"/>
          </w:tcPr>
          <w:p w14:paraId="4C18C3ED">
            <w:pPr>
              <w:pStyle w:val="4"/>
              <w:jc w:val="center"/>
            </w:pPr>
            <w:r>
              <w:rPr>
                <w:rFonts w:ascii="仿宋_GB2312" w:hAnsi="仿宋_GB2312" w:eastAsia="仿宋_GB2312" w:cs="仿宋_GB2312"/>
              </w:rPr>
              <w:t>报价单位</w:t>
            </w:r>
          </w:p>
        </w:tc>
        <w:tc>
          <w:tcPr>
            <w:tcW w:w="1466" w:type="dxa"/>
          </w:tcPr>
          <w:p w14:paraId="2636D05F">
            <w:pPr>
              <w:pStyle w:val="4"/>
              <w:jc w:val="center"/>
            </w:pPr>
            <w:r>
              <w:rPr>
                <w:rFonts w:ascii="仿宋_GB2312" w:hAnsi="仿宋_GB2312" w:eastAsia="仿宋_GB2312" w:cs="仿宋_GB2312"/>
              </w:rPr>
              <w:t>最高限价</w:t>
            </w:r>
          </w:p>
        </w:tc>
        <w:tc>
          <w:tcPr>
            <w:tcW w:w="977" w:type="dxa"/>
          </w:tcPr>
          <w:p w14:paraId="5440DDB4">
            <w:pPr>
              <w:pStyle w:val="4"/>
              <w:jc w:val="center"/>
            </w:pPr>
            <w:r>
              <w:rPr>
                <w:rFonts w:ascii="仿宋_GB2312" w:hAnsi="仿宋_GB2312" w:eastAsia="仿宋_GB2312" w:cs="仿宋_GB2312"/>
              </w:rPr>
              <w:t>价款形式</w:t>
            </w:r>
          </w:p>
        </w:tc>
        <w:tc>
          <w:tcPr>
            <w:tcW w:w="1466" w:type="dxa"/>
          </w:tcPr>
          <w:p w14:paraId="725F2239">
            <w:pPr>
              <w:pStyle w:val="4"/>
              <w:jc w:val="center"/>
            </w:pPr>
            <w:r>
              <w:rPr>
                <w:rFonts w:ascii="仿宋_GB2312" w:hAnsi="仿宋_GB2312" w:eastAsia="仿宋_GB2312" w:cs="仿宋_GB2312"/>
              </w:rPr>
              <w:t>报价说明</w:t>
            </w:r>
          </w:p>
        </w:tc>
      </w:tr>
      <w:tr w14:paraId="7ABB7CD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4" w:type="dxa"/>
          </w:tcPr>
          <w:p w14:paraId="3A700BDC">
            <w:pPr>
              <w:pStyle w:val="4"/>
              <w:jc w:val="center"/>
            </w:pPr>
            <w:r>
              <w:rPr>
                <w:rFonts w:ascii="仿宋_GB2312" w:hAnsi="仿宋_GB2312" w:eastAsia="仿宋_GB2312" w:cs="仿宋_GB2312"/>
              </w:rPr>
              <w:t>1</w:t>
            </w:r>
          </w:p>
        </w:tc>
        <w:tc>
          <w:tcPr>
            <w:tcW w:w="1759" w:type="dxa"/>
          </w:tcPr>
          <w:p w14:paraId="1B6EFAAC">
            <w:pPr>
              <w:pStyle w:val="4"/>
              <w:jc w:val="center"/>
            </w:pPr>
            <w:r>
              <w:rPr>
                <w:rFonts w:ascii="仿宋_GB2312" w:hAnsi="仿宋_GB2312" w:eastAsia="仿宋_GB2312" w:cs="仿宋_GB2312"/>
              </w:rPr>
              <w:t>路灯</w:t>
            </w:r>
          </w:p>
        </w:tc>
        <w:tc>
          <w:tcPr>
            <w:tcW w:w="977" w:type="dxa"/>
          </w:tcPr>
          <w:p w14:paraId="736D9A2F">
            <w:pPr>
              <w:pStyle w:val="4"/>
              <w:jc w:val="center"/>
            </w:pPr>
            <w:r>
              <w:rPr>
                <w:rFonts w:ascii="仿宋_GB2312" w:hAnsi="仿宋_GB2312" w:eastAsia="仿宋_GB2312" w:cs="仿宋_GB2312"/>
              </w:rPr>
              <w:t>套</w:t>
            </w:r>
          </w:p>
        </w:tc>
        <w:tc>
          <w:tcPr>
            <w:tcW w:w="977" w:type="dxa"/>
          </w:tcPr>
          <w:p w14:paraId="79E76FEB">
            <w:pPr>
              <w:pStyle w:val="4"/>
              <w:jc w:val="center"/>
            </w:pPr>
            <w:r>
              <w:rPr>
                <w:rFonts w:ascii="仿宋_GB2312" w:hAnsi="仿宋_GB2312" w:eastAsia="仿宋_GB2312" w:cs="仿宋_GB2312"/>
              </w:rPr>
              <w:t>元</w:t>
            </w:r>
          </w:p>
        </w:tc>
        <w:tc>
          <w:tcPr>
            <w:tcW w:w="1466" w:type="dxa"/>
          </w:tcPr>
          <w:p w14:paraId="7AAE3C92">
            <w:pPr>
              <w:pStyle w:val="4"/>
              <w:jc w:val="center"/>
            </w:pPr>
            <w:r>
              <w:rPr>
                <w:rFonts w:ascii="仿宋_GB2312" w:hAnsi="仿宋_GB2312" w:eastAsia="仿宋_GB2312" w:cs="仿宋_GB2312"/>
              </w:rPr>
              <w:t>350,000.00</w:t>
            </w:r>
          </w:p>
        </w:tc>
        <w:tc>
          <w:tcPr>
            <w:tcW w:w="977" w:type="dxa"/>
          </w:tcPr>
          <w:p w14:paraId="12CFC428">
            <w:pPr>
              <w:pStyle w:val="4"/>
              <w:jc w:val="center"/>
            </w:pPr>
            <w:r>
              <w:rPr>
                <w:rFonts w:ascii="仿宋_GB2312" w:hAnsi="仿宋_GB2312" w:eastAsia="仿宋_GB2312" w:cs="仿宋_GB2312"/>
              </w:rPr>
              <w:t>单价</w:t>
            </w:r>
          </w:p>
        </w:tc>
        <w:tc>
          <w:tcPr>
            <w:tcW w:w="1466" w:type="dxa"/>
          </w:tcPr>
          <w:p w14:paraId="205378B1">
            <w:pPr>
              <w:pStyle w:val="4"/>
              <w:jc w:val="left"/>
            </w:pPr>
            <w:r>
              <w:rPr>
                <w:rFonts w:ascii="仿宋_GB2312" w:hAnsi="仿宋_GB2312" w:eastAsia="仿宋_GB2312" w:cs="仿宋_GB2312"/>
              </w:rPr>
              <w:t>本项目限价350000元为最终结算价，采购数量=限价÷单价。供应商报价时根据所报单价自行计算数量并填写；单价最高限价为2800元。不符合上述报价要求的作为无效响应处理。</w:t>
            </w:r>
          </w:p>
        </w:tc>
      </w:tr>
    </w:tbl>
    <w:p w14:paraId="29B7507C">
      <w:pPr>
        <w:pStyle w:val="4"/>
        <w:ind w:firstLine="480"/>
        <w:jc w:val="left"/>
      </w:pPr>
      <w:r>
        <w:rPr>
          <w:rFonts w:ascii="仿宋_GB2312" w:hAnsi="仿宋_GB2312" w:eastAsia="仿宋_GB2312" w:cs="仿宋_GB2312"/>
        </w:rPr>
        <w:t>★注：供应商响应产品应当明确品牌和规格型号并指向唯一产品，不能指向唯一产品的，应通过报价表唯一产品说明栏补充说明。</w:t>
      </w:r>
    </w:p>
    <w:p w14:paraId="1613B2DE">
      <w:pPr>
        <w:pStyle w:val="4"/>
        <w:jc w:val="left"/>
        <w:outlineLvl w:val="3"/>
      </w:pPr>
      <w:r>
        <w:rPr>
          <w:rFonts w:ascii="仿宋_GB2312" w:hAnsi="仿宋_GB2312" w:eastAsia="仿宋_GB2312" w:cs="仿宋_GB2312"/>
          <w:b/>
          <w:sz w:val="24"/>
        </w:rPr>
        <w:t>本项目涉及核心产品：</w:t>
      </w:r>
    </w:p>
    <w:p w14:paraId="00399FF3">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76055D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24A16550">
            <w:pPr>
              <w:pStyle w:val="4"/>
              <w:jc w:val="center"/>
            </w:pPr>
            <w:r>
              <w:rPr>
                <w:rFonts w:ascii="仿宋_GB2312" w:hAnsi="仿宋_GB2312" w:eastAsia="仿宋_GB2312" w:cs="仿宋_GB2312"/>
              </w:rPr>
              <w:t>序号</w:t>
            </w:r>
          </w:p>
        </w:tc>
        <w:tc>
          <w:tcPr>
            <w:tcW w:w="2492" w:type="dxa"/>
          </w:tcPr>
          <w:p w14:paraId="774D3497">
            <w:pPr>
              <w:pStyle w:val="4"/>
              <w:jc w:val="center"/>
            </w:pPr>
            <w:r>
              <w:rPr>
                <w:rFonts w:ascii="仿宋_GB2312" w:hAnsi="仿宋_GB2312" w:eastAsia="仿宋_GB2312" w:cs="仿宋_GB2312"/>
              </w:rPr>
              <w:t>采购品目名称</w:t>
            </w:r>
          </w:p>
        </w:tc>
        <w:tc>
          <w:tcPr>
            <w:tcW w:w="2492" w:type="dxa"/>
          </w:tcPr>
          <w:p w14:paraId="4C9281C6">
            <w:pPr>
              <w:pStyle w:val="4"/>
              <w:jc w:val="center"/>
            </w:pPr>
            <w:r>
              <w:rPr>
                <w:rFonts w:ascii="仿宋_GB2312" w:hAnsi="仿宋_GB2312" w:eastAsia="仿宋_GB2312" w:cs="仿宋_GB2312"/>
              </w:rPr>
              <w:t>标的名称</w:t>
            </w:r>
          </w:p>
        </w:tc>
        <w:tc>
          <w:tcPr>
            <w:tcW w:w="2492" w:type="dxa"/>
          </w:tcPr>
          <w:p w14:paraId="47ED5AAB">
            <w:pPr>
              <w:pStyle w:val="4"/>
              <w:jc w:val="center"/>
            </w:pPr>
            <w:r>
              <w:rPr>
                <w:rFonts w:ascii="仿宋_GB2312" w:hAnsi="仿宋_GB2312" w:eastAsia="仿宋_GB2312" w:cs="仿宋_GB2312"/>
              </w:rPr>
              <w:t>产品名称</w:t>
            </w:r>
          </w:p>
        </w:tc>
      </w:tr>
      <w:tr w14:paraId="368D67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2CA409F">
            <w:pPr>
              <w:pStyle w:val="4"/>
              <w:jc w:val="left"/>
            </w:pPr>
            <w:r>
              <w:rPr>
                <w:rFonts w:ascii="仿宋_GB2312" w:hAnsi="仿宋_GB2312" w:eastAsia="仿宋_GB2312" w:cs="仿宋_GB2312"/>
              </w:rPr>
              <w:t>1</w:t>
            </w:r>
          </w:p>
        </w:tc>
        <w:tc>
          <w:tcPr>
            <w:tcW w:w="2492" w:type="dxa"/>
          </w:tcPr>
          <w:p w14:paraId="1DD4BCB7">
            <w:pPr>
              <w:pStyle w:val="4"/>
              <w:jc w:val="left"/>
            </w:pPr>
            <w:r>
              <w:rPr>
                <w:rFonts w:ascii="仿宋_GB2312" w:hAnsi="仿宋_GB2312" w:eastAsia="仿宋_GB2312" w:cs="仿宋_GB2312"/>
              </w:rPr>
              <w:t>A02061910 路灯</w:t>
            </w:r>
          </w:p>
        </w:tc>
        <w:tc>
          <w:tcPr>
            <w:tcW w:w="2492" w:type="dxa"/>
          </w:tcPr>
          <w:p w14:paraId="01935630">
            <w:pPr>
              <w:pStyle w:val="4"/>
              <w:jc w:val="left"/>
            </w:pPr>
            <w:r>
              <w:rPr>
                <w:rFonts w:ascii="仿宋_GB2312" w:hAnsi="仿宋_GB2312" w:eastAsia="仿宋_GB2312" w:cs="仿宋_GB2312"/>
              </w:rPr>
              <w:t>路灯</w:t>
            </w:r>
          </w:p>
        </w:tc>
        <w:tc>
          <w:tcPr>
            <w:tcW w:w="2492" w:type="dxa"/>
          </w:tcPr>
          <w:p w14:paraId="04ECDA9A">
            <w:pPr>
              <w:pStyle w:val="4"/>
              <w:jc w:val="left"/>
            </w:pPr>
            <w:r>
              <w:rPr>
                <w:rFonts w:ascii="仿宋_GB2312" w:hAnsi="仿宋_GB2312" w:eastAsia="仿宋_GB2312" w:cs="仿宋_GB2312"/>
              </w:rPr>
              <w:t>路灯</w:t>
            </w:r>
          </w:p>
        </w:tc>
      </w:tr>
    </w:tbl>
    <w:p w14:paraId="5A64ADA8">
      <w:pPr>
        <w:pStyle w:val="4"/>
        <w:ind w:firstLine="480"/>
        <w:jc w:val="left"/>
      </w:pPr>
      <w:r>
        <w:rPr>
          <w:rFonts w:ascii="仿宋_GB2312" w:hAnsi="仿宋_GB2312" w:eastAsia="仿宋_GB2312" w:cs="仿宋_GB2312"/>
        </w:rPr>
        <w:t>注：涉及核心产品的，具体评审规定见第五章。</w:t>
      </w:r>
    </w:p>
    <w:p w14:paraId="72852602">
      <w:pPr>
        <w:pStyle w:val="4"/>
        <w:jc w:val="left"/>
        <w:outlineLvl w:val="3"/>
      </w:pPr>
      <w:r>
        <w:rPr>
          <w:rFonts w:ascii="仿宋_GB2312" w:hAnsi="仿宋_GB2312" w:eastAsia="仿宋_GB2312" w:cs="仿宋_GB2312"/>
          <w:b/>
          <w:sz w:val="24"/>
        </w:rPr>
        <w:t>本项目涉及采购进口产品：</w:t>
      </w:r>
    </w:p>
    <w:p w14:paraId="32DB6EE0">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46FE4D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A71F7DE">
            <w:pPr>
              <w:pStyle w:val="4"/>
              <w:jc w:val="center"/>
            </w:pPr>
            <w:r>
              <w:rPr>
                <w:rFonts w:ascii="仿宋_GB2312" w:hAnsi="仿宋_GB2312" w:eastAsia="仿宋_GB2312" w:cs="仿宋_GB2312"/>
              </w:rPr>
              <w:t>序号</w:t>
            </w:r>
          </w:p>
        </w:tc>
        <w:tc>
          <w:tcPr>
            <w:tcW w:w="2492" w:type="dxa"/>
          </w:tcPr>
          <w:p w14:paraId="68B117F4">
            <w:pPr>
              <w:pStyle w:val="4"/>
              <w:jc w:val="center"/>
            </w:pPr>
            <w:r>
              <w:rPr>
                <w:rFonts w:ascii="仿宋_GB2312" w:hAnsi="仿宋_GB2312" w:eastAsia="仿宋_GB2312" w:cs="仿宋_GB2312"/>
              </w:rPr>
              <w:t>采购品目名称</w:t>
            </w:r>
          </w:p>
        </w:tc>
        <w:tc>
          <w:tcPr>
            <w:tcW w:w="2492" w:type="dxa"/>
          </w:tcPr>
          <w:p w14:paraId="038516B4">
            <w:pPr>
              <w:pStyle w:val="4"/>
              <w:jc w:val="center"/>
            </w:pPr>
            <w:r>
              <w:rPr>
                <w:rFonts w:ascii="仿宋_GB2312" w:hAnsi="仿宋_GB2312" w:eastAsia="仿宋_GB2312" w:cs="仿宋_GB2312"/>
              </w:rPr>
              <w:t>标的名称</w:t>
            </w:r>
          </w:p>
        </w:tc>
        <w:tc>
          <w:tcPr>
            <w:tcW w:w="2492" w:type="dxa"/>
          </w:tcPr>
          <w:p w14:paraId="16F16934">
            <w:pPr>
              <w:pStyle w:val="4"/>
              <w:jc w:val="center"/>
            </w:pPr>
            <w:r>
              <w:rPr>
                <w:rFonts w:ascii="仿宋_GB2312" w:hAnsi="仿宋_GB2312" w:eastAsia="仿宋_GB2312" w:cs="仿宋_GB2312"/>
              </w:rPr>
              <w:t>产品名称</w:t>
            </w:r>
          </w:p>
        </w:tc>
      </w:tr>
      <w:tr w14:paraId="3CDEAA7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00F24291">
            <w:pPr>
              <w:pStyle w:val="4"/>
              <w:jc w:val="center"/>
            </w:pPr>
            <w:r>
              <w:rPr>
                <w:rFonts w:ascii="仿宋_GB2312" w:hAnsi="仿宋_GB2312" w:eastAsia="仿宋_GB2312" w:cs="仿宋_GB2312"/>
              </w:rPr>
              <w:t>不涉及</w:t>
            </w:r>
          </w:p>
        </w:tc>
      </w:tr>
    </w:tbl>
    <w:p w14:paraId="11A6D501">
      <w:pPr>
        <w:pStyle w:val="4"/>
        <w:ind w:firstLine="480"/>
        <w:jc w:val="left"/>
      </w:pPr>
      <w:r>
        <w:rPr>
          <w:rFonts w:ascii="仿宋_GB2312" w:hAnsi="仿宋_GB2312" w:eastAsia="仿宋_GB2312" w:cs="仿宋_GB2312"/>
        </w:rPr>
        <w:t>★注：不涉及采购进口产品时，供应商不得提供进口产品进行响应；涉及采购进口产品时，如国产产品满足采购需求，也可提供国产产品进行响应。</w:t>
      </w:r>
    </w:p>
    <w:p w14:paraId="16B69576">
      <w:pPr>
        <w:pStyle w:val="4"/>
        <w:jc w:val="left"/>
        <w:outlineLvl w:val="3"/>
      </w:pPr>
      <w:r>
        <w:rPr>
          <w:rFonts w:ascii="仿宋_GB2312" w:hAnsi="仿宋_GB2312" w:eastAsia="仿宋_GB2312" w:cs="仿宋_GB2312"/>
          <w:b/>
          <w:sz w:val="24"/>
        </w:rPr>
        <w:t>本项目涉及强制采购节能产品：</w:t>
      </w:r>
    </w:p>
    <w:p w14:paraId="2EF4F58B">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1B86FD6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1" w:type="dxa"/>
          </w:tcPr>
          <w:p w14:paraId="1E449161">
            <w:pPr>
              <w:pStyle w:val="4"/>
              <w:jc w:val="center"/>
            </w:pPr>
            <w:r>
              <w:rPr>
                <w:rFonts w:ascii="仿宋_GB2312" w:hAnsi="仿宋_GB2312" w:eastAsia="仿宋_GB2312" w:cs="仿宋_GB2312"/>
              </w:rPr>
              <w:t>序号</w:t>
            </w:r>
          </w:p>
        </w:tc>
        <w:tc>
          <w:tcPr>
            <w:tcW w:w="2492" w:type="dxa"/>
          </w:tcPr>
          <w:p w14:paraId="74E30E0C">
            <w:pPr>
              <w:pStyle w:val="4"/>
              <w:jc w:val="center"/>
            </w:pPr>
            <w:r>
              <w:rPr>
                <w:rFonts w:ascii="仿宋_GB2312" w:hAnsi="仿宋_GB2312" w:eastAsia="仿宋_GB2312" w:cs="仿宋_GB2312"/>
              </w:rPr>
              <w:t>采购品目名称</w:t>
            </w:r>
          </w:p>
        </w:tc>
        <w:tc>
          <w:tcPr>
            <w:tcW w:w="2492" w:type="dxa"/>
          </w:tcPr>
          <w:p w14:paraId="4888EC0A">
            <w:pPr>
              <w:pStyle w:val="4"/>
              <w:jc w:val="center"/>
            </w:pPr>
            <w:r>
              <w:rPr>
                <w:rFonts w:ascii="仿宋_GB2312" w:hAnsi="仿宋_GB2312" w:eastAsia="仿宋_GB2312" w:cs="仿宋_GB2312"/>
              </w:rPr>
              <w:t>标的名称</w:t>
            </w:r>
          </w:p>
        </w:tc>
        <w:tc>
          <w:tcPr>
            <w:tcW w:w="2492" w:type="dxa"/>
          </w:tcPr>
          <w:p w14:paraId="34C88350">
            <w:pPr>
              <w:pStyle w:val="4"/>
              <w:jc w:val="center"/>
            </w:pPr>
            <w:r>
              <w:rPr>
                <w:rFonts w:ascii="仿宋_GB2312" w:hAnsi="仿宋_GB2312" w:eastAsia="仿宋_GB2312" w:cs="仿宋_GB2312"/>
              </w:rPr>
              <w:t>产品名称</w:t>
            </w:r>
          </w:p>
        </w:tc>
      </w:tr>
      <w:tr w14:paraId="1F35798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54C19BB9">
            <w:pPr>
              <w:pStyle w:val="4"/>
              <w:jc w:val="center"/>
            </w:pPr>
            <w:r>
              <w:rPr>
                <w:rFonts w:ascii="仿宋_GB2312" w:hAnsi="仿宋_GB2312" w:eastAsia="仿宋_GB2312" w:cs="仿宋_GB2312"/>
              </w:rPr>
              <w:t>不涉及</w:t>
            </w:r>
          </w:p>
        </w:tc>
      </w:tr>
    </w:tbl>
    <w:p w14:paraId="562BE572">
      <w:pPr>
        <w:pStyle w:val="4"/>
        <w:ind w:firstLine="480"/>
        <w:jc w:val="left"/>
      </w:pPr>
      <w:r>
        <w:rPr>
          <w:rFonts w:ascii="仿宋_GB2312" w:hAnsi="仿宋_GB2312" w:eastAsia="仿宋_GB2312" w:cs="仿宋_GB2312"/>
        </w:rPr>
        <w:t>★注：响应产品属于《节能产品政府采购品目清单》中政府强制采购的产品，供应商应当提供由国家确定的认证机构出具的、处于有效期之内的节能产品认证证书的原件扫描件或“全国认证认可信息公共服务平台”（http://cx.cnca.cn）的认证信息截图，否则作无效响应处理。具体要求详见第五章符合性审查表。</w:t>
      </w:r>
    </w:p>
    <w:p w14:paraId="40097475">
      <w:pPr>
        <w:pStyle w:val="4"/>
        <w:jc w:val="left"/>
      </w:pPr>
      <w:r>
        <w:rPr>
          <w:rFonts w:ascii="仿宋_GB2312" w:hAnsi="仿宋_GB2312" w:eastAsia="仿宋_GB2312" w:cs="仿宋_GB2312"/>
          <w:b/>
        </w:rPr>
        <w:t>本项目涉及优先采购节能产品：</w:t>
      </w:r>
    </w:p>
    <w:p w14:paraId="556A210B">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7F1D4F0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AC0E221">
            <w:pPr>
              <w:pStyle w:val="4"/>
              <w:jc w:val="center"/>
            </w:pPr>
            <w:r>
              <w:rPr>
                <w:rFonts w:ascii="仿宋_GB2312" w:hAnsi="仿宋_GB2312" w:eastAsia="仿宋_GB2312" w:cs="仿宋_GB2312"/>
              </w:rPr>
              <w:t>序号</w:t>
            </w:r>
          </w:p>
        </w:tc>
        <w:tc>
          <w:tcPr>
            <w:tcW w:w="2492" w:type="dxa"/>
          </w:tcPr>
          <w:p w14:paraId="1A1CED6A">
            <w:pPr>
              <w:pStyle w:val="4"/>
              <w:jc w:val="center"/>
            </w:pPr>
            <w:r>
              <w:rPr>
                <w:rFonts w:ascii="仿宋_GB2312" w:hAnsi="仿宋_GB2312" w:eastAsia="仿宋_GB2312" w:cs="仿宋_GB2312"/>
              </w:rPr>
              <w:t>采购品目名称</w:t>
            </w:r>
          </w:p>
        </w:tc>
        <w:tc>
          <w:tcPr>
            <w:tcW w:w="2492" w:type="dxa"/>
          </w:tcPr>
          <w:p w14:paraId="0011FBAD">
            <w:pPr>
              <w:pStyle w:val="4"/>
              <w:jc w:val="center"/>
            </w:pPr>
            <w:r>
              <w:rPr>
                <w:rFonts w:ascii="仿宋_GB2312" w:hAnsi="仿宋_GB2312" w:eastAsia="仿宋_GB2312" w:cs="仿宋_GB2312"/>
              </w:rPr>
              <w:t>标的名称</w:t>
            </w:r>
          </w:p>
        </w:tc>
        <w:tc>
          <w:tcPr>
            <w:tcW w:w="2492" w:type="dxa"/>
          </w:tcPr>
          <w:p w14:paraId="3D8FEE04">
            <w:pPr>
              <w:pStyle w:val="4"/>
              <w:jc w:val="center"/>
            </w:pPr>
            <w:r>
              <w:rPr>
                <w:rFonts w:ascii="仿宋_GB2312" w:hAnsi="仿宋_GB2312" w:eastAsia="仿宋_GB2312" w:cs="仿宋_GB2312"/>
              </w:rPr>
              <w:t>产品名称</w:t>
            </w:r>
          </w:p>
        </w:tc>
      </w:tr>
      <w:tr w14:paraId="60D7B3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61D787D7">
            <w:pPr>
              <w:pStyle w:val="4"/>
              <w:jc w:val="center"/>
            </w:pPr>
            <w:r>
              <w:rPr>
                <w:rFonts w:ascii="仿宋_GB2312" w:hAnsi="仿宋_GB2312" w:eastAsia="仿宋_GB2312" w:cs="仿宋_GB2312"/>
              </w:rPr>
              <w:t>不涉及</w:t>
            </w:r>
          </w:p>
        </w:tc>
      </w:tr>
    </w:tbl>
    <w:p w14:paraId="79DD1A34">
      <w:pPr>
        <w:pStyle w:val="4"/>
        <w:ind w:firstLine="480"/>
        <w:jc w:val="left"/>
      </w:pPr>
      <w:r>
        <w:rPr>
          <w:rFonts w:ascii="仿宋_GB2312" w:hAnsi="仿宋_GB2312" w:eastAsia="仿宋_GB2312" w:cs="仿宋_GB2312"/>
        </w:rPr>
        <w:t>注：响应产品属于《节能产品政府采购品目清单》中优先采购的产品，供应商提供由国家确定的认证机构出具的、处于有效期之内的节能产品认证证书的原件扫描件或“全国认证认可信息公共服务平台”（http://cx.cnca.cn）的认证信息截图，可以享受优先采购政策。具体要求详见第五章规定。</w:t>
      </w:r>
    </w:p>
    <w:p w14:paraId="74188A55">
      <w:pPr>
        <w:pStyle w:val="4"/>
        <w:jc w:val="left"/>
        <w:outlineLvl w:val="3"/>
      </w:pPr>
      <w:r>
        <w:rPr>
          <w:rFonts w:ascii="仿宋_GB2312" w:hAnsi="仿宋_GB2312" w:eastAsia="仿宋_GB2312" w:cs="仿宋_GB2312"/>
          <w:b/>
          <w:sz w:val="24"/>
        </w:rPr>
        <w:t>本项目涉及优先采购环境标志产品：</w:t>
      </w:r>
    </w:p>
    <w:p w14:paraId="5CACC73B">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3C48E0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D4E40C2">
            <w:pPr>
              <w:pStyle w:val="4"/>
              <w:jc w:val="center"/>
            </w:pPr>
            <w:r>
              <w:rPr>
                <w:rFonts w:ascii="仿宋_GB2312" w:hAnsi="仿宋_GB2312" w:eastAsia="仿宋_GB2312" w:cs="仿宋_GB2312"/>
              </w:rPr>
              <w:t>序号</w:t>
            </w:r>
          </w:p>
        </w:tc>
        <w:tc>
          <w:tcPr>
            <w:tcW w:w="2492" w:type="dxa"/>
          </w:tcPr>
          <w:p w14:paraId="254EBFDC">
            <w:pPr>
              <w:pStyle w:val="4"/>
              <w:jc w:val="center"/>
            </w:pPr>
            <w:r>
              <w:rPr>
                <w:rFonts w:ascii="仿宋_GB2312" w:hAnsi="仿宋_GB2312" w:eastAsia="仿宋_GB2312" w:cs="仿宋_GB2312"/>
              </w:rPr>
              <w:t>采购品目名称</w:t>
            </w:r>
          </w:p>
        </w:tc>
        <w:tc>
          <w:tcPr>
            <w:tcW w:w="2492" w:type="dxa"/>
          </w:tcPr>
          <w:p w14:paraId="11B439FE">
            <w:pPr>
              <w:pStyle w:val="4"/>
              <w:jc w:val="center"/>
            </w:pPr>
            <w:r>
              <w:rPr>
                <w:rFonts w:ascii="仿宋_GB2312" w:hAnsi="仿宋_GB2312" w:eastAsia="仿宋_GB2312" w:cs="仿宋_GB2312"/>
              </w:rPr>
              <w:t>标的名称</w:t>
            </w:r>
          </w:p>
        </w:tc>
        <w:tc>
          <w:tcPr>
            <w:tcW w:w="2492" w:type="dxa"/>
          </w:tcPr>
          <w:p w14:paraId="5BE26225">
            <w:pPr>
              <w:pStyle w:val="4"/>
              <w:jc w:val="center"/>
            </w:pPr>
            <w:r>
              <w:rPr>
                <w:rFonts w:ascii="仿宋_GB2312" w:hAnsi="仿宋_GB2312" w:eastAsia="仿宋_GB2312" w:cs="仿宋_GB2312"/>
              </w:rPr>
              <w:t>产品名称</w:t>
            </w:r>
          </w:p>
        </w:tc>
      </w:tr>
      <w:tr w14:paraId="03EAC38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6F83D84A">
            <w:pPr>
              <w:pStyle w:val="4"/>
              <w:jc w:val="center"/>
            </w:pPr>
            <w:r>
              <w:rPr>
                <w:rFonts w:ascii="仿宋_GB2312" w:hAnsi="仿宋_GB2312" w:eastAsia="仿宋_GB2312" w:cs="仿宋_GB2312"/>
              </w:rPr>
              <w:t>不涉及</w:t>
            </w:r>
          </w:p>
        </w:tc>
      </w:tr>
    </w:tbl>
    <w:p w14:paraId="792136F9">
      <w:pPr>
        <w:pStyle w:val="4"/>
        <w:ind w:firstLine="480"/>
        <w:jc w:val="left"/>
      </w:pPr>
      <w:r>
        <w:rPr>
          <w:rFonts w:ascii="仿宋_GB2312" w:hAnsi="仿宋_GB2312" w:eastAsia="仿宋_GB2312" w:cs="仿宋_GB2312"/>
        </w:rPr>
        <w:t>注：响应产品属于《环境标志产品政府采购品目清单》中的产品，供应商提供由国家确定的认证机构出具的、处于有效期之内的环境标志产品认证证书的原件扫描件或“全国认证认可信息公共服务平台”（http://cx.cnca.cn）的认证信息截图，可以享受优先采购政策。具体要求详见第五章规定。</w:t>
      </w:r>
    </w:p>
    <w:p w14:paraId="7EF4F8D8">
      <w:pPr>
        <w:pStyle w:val="4"/>
        <w:jc w:val="left"/>
        <w:outlineLvl w:val="2"/>
      </w:pPr>
      <w:r>
        <w:rPr>
          <w:rFonts w:ascii="仿宋_GB2312" w:hAnsi="仿宋_GB2312" w:eastAsia="仿宋_GB2312" w:cs="仿宋_GB2312"/>
          <w:b/>
          <w:sz w:val="28"/>
        </w:rPr>
        <w:t>3.2.技术要求</w:t>
      </w:r>
    </w:p>
    <w:p w14:paraId="5AF21711">
      <w:pPr>
        <w:pStyle w:val="4"/>
        <w:jc w:val="left"/>
      </w:pPr>
      <w:r>
        <w:rPr>
          <w:rFonts w:ascii="仿宋_GB2312" w:hAnsi="仿宋_GB2312" w:eastAsia="仿宋_GB2312" w:cs="仿宋_GB2312"/>
        </w:rPr>
        <w:t>采购包1：</w:t>
      </w:r>
    </w:p>
    <w:p w14:paraId="186A86DC">
      <w:pPr>
        <w:pStyle w:val="4"/>
        <w:jc w:val="left"/>
      </w:pPr>
      <w:r>
        <w:rPr>
          <w:rFonts w:ascii="仿宋_GB2312" w:hAnsi="仿宋_GB2312" w:eastAsia="仿宋_GB2312" w:cs="仿宋_GB2312"/>
        </w:rPr>
        <w:t>标的名称：路灯</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01EC8B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B70A810">
            <w:pPr>
              <w:pStyle w:val="4"/>
              <w:jc w:val="center"/>
            </w:pPr>
            <w:r>
              <w:rPr>
                <w:rFonts w:ascii="仿宋_GB2312" w:hAnsi="仿宋_GB2312" w:eastAsia="仿宋_GB2312" w:cs="仿宋_GB2312"/>
              </w:rPr>
              <w:t>序号</w:t>
            </w:r>
          </w:p>
        </w:tc>
        <w:tc>
          <w:tcPr>
            <w:tcW w:w="581" w:type="dxa"/>
          </w:tcPr>
          <w:p w14:paraId="7AD991A9">
            <w:pPr>
              <w:pStyle w:val="4"/>
              <w:jc w:val="center"/>
            </w:pPr>
            <w:r>
              <w:rPr>
                <w:rFonts w:ascii="仿宋_GB2312" w:hAnsi="仿宋_GB2312" w:eastAsia="仿宋_GB2312" w:cs="仿宋_GB2312"/>
              </w:rPr>
              <w:t>符号标识</w:t>
            </w:r>
          </w:p>
        </w:tc>
        <w:tc>
          <w:tcPr>
            <w:tcW w:w="1495" w:type="dxa"/>
          </w:tcPr>
          <w:p w14:paraId="5C898D87">
            <w:pPr>
              <w:pStyle w:val="4"/>
              <w:jc w:val="center"/>
            </w:pPr>
            <w:r>
              <w:rPr>
                <w:rFonts w:ascii="仿宋_GB2312" w:hAnsi="仿宋_GB2312" w:eastAsia="仿宋_GB2312" w:cs="仿宋_GB2312"/>
              </w:rPr>
              <w:t>技术要求名称</w:t>
            </w:r>
          </w:p>
        </w:tc>
        <w:tc>
          <w:tcPr>
            <w:tcW w:w="5814" w:type="dxa"/>
          </w:tcPr>
          <w:p w14:paraId="6B720C96">
            <w:pPr>
              <w:pStyle w:val="4"/>
              <w:jc w:val="center"/>
            </w:pPr>
            <w:r>
              <w:rPr>
                <w:rFonts w:ascii="仿宋_GB2312" w:hAnsi="仿宋_GB2312" w:eastAsia="仿宋_GB2312" w:cs="仿宋_GB2312"/>
              </w:rPr>
              <w:t>技术参数与性能指标</w:t>
            </w:r>
          </w:p>
        </w:tc>
      </w:tr>
      <w:tr w14:paraId="6DDE8C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E8C763A">
            <w:pPr>
              <w:pStyle w:val="4"/>
              <w:jc w:val="center"/>
            </w:pPr>
            <w:r>
              <w:rPr>
                <w:rFonts w:ascii="仿宋_GB2312" w:hAnsi="仿宋_GB2312" w:eastAsia="仿宋_GB2312" w:cs="仿宋_GB2312"/>
              </w:rPr>
              <w:t>1</w:t>
            </w:r>
          </w:p>
        </w:tc>
        <w:tc>
          <w:tcPr>
            <w:tcW w:w="581" w:type="dxa"/>
          </w:tcPr>
          <w:p w14:paraId="272A9243"/>
        </w:tc>
        <w:tc>
          <w:tcPr>
            <w:tcW w:w="1495" w:type="dxa"/>
          </w:tcPr>
          <w:p w14:paraId="7AE2C42E">
            <w:pPr>
              <w:pStyle w:val="4"/>
              <w:jc w:val="left"/>
            </w:pPr>
            <w:r>
              <w:rPr>
                <w:rFonts w:ascii="仿宋_GB2312" w:hAnsi="仿宋_GB2312" w:eastAsia="仿宋_GB2312" w:cs="仿宋_GB2312"/>
              </w:rPr>
              <w:t>太阳能路灯</w:t>
            </w:r>
          </w:p>
        </w:tc>
        <w:tc>
          <w:tcPr>
            <w:tcW w:w="5814" w:type="dxa"/>
          </w:tcPr>
          <w:tbl>
            <w:tblPr>
              <w:tblStyle w:val="2"/>
              <w:tblW w:w="0" w:type="auto"/>
              <w:tblInd w:w="13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4470"/>
              <w:gridCol w:w="568"/>
            </w:tblGrid>
            <w:tr w14:paraId="74D6D56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PrEx>
              <w:tc>
                <w:tcPr>
                  <w:tcW w:w="447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02A8A273">
                  <w:pPr>
                    <w:pStyle w:val="4"/>
                    <w:spacing w:before="105" w:after="120"/>
                    <w:jc w:val="center"/>
                  </w:pPr>
                  <w:r>
                    <w:rPr>
                      <w:rFonts w:ascii="仿宋_GB2312" w:hAnsi="仿宋_GB2312" w:eastAsia="仿宋_GB2312" w:cs="仿宋_GB2312"/>
                      <w:color w:val="000000"/>
                      <w:sz w:val="24"/>
                    </w:rPr>
                    <w:t>技术参数</w:t>
                  </w:r>
                </w:p>
              </w:tc>
              <w:tc>
                <w:tcPr>
                  <w:tcW w:w="56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3F0E703">
                  <w:pPr>
                    <w:pStyle w:val="4"/>
                    <w:spacing w:before="105" w:after="120"/>
                    <w:jc w:val="left"/>
                  </w:pPr>
                  <w:r>
                    <w:rPr>
                      <w:rFonts w:ascii="仿宋_GB2312" w:hAnsi="仿宋_GB2312" w:eastAsia="仿宋_GB2312" w:cs="仿宋_GB2312"/>
                      <w:color w:val="000000"/>
                      <w:sz w:val="24"/>
                    </w:rPr>
                    <w:t>单位</w:t>
                  </w:r>
                </w:p>
              </w:tc>
            </w:tr>
            <w:tr w14:paraId="0AC7EE2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D8CE4FB">
                  <w:pPr>
                    <w:pStyle w:val="4"/>
                    <w:spacing w:before="105" w:after="120"/>
                    <w:jc w:val="both"/>
                  </w:pPr>
                  <w:r>
                    <w:rPr>
                      <w:rFonts w:ascii="仿宋_GB2312" w:hAnsi="仿宋_GB2312" w:eastAsia="仿宋_GB2312" w:cs="仿宋_GB2312"/>
                      <w:sz w:val="20"/>
                    </w:rPr>
                    <w:t>一）灯杆：</w:t>
                  </w:r>
                </w:p>
                <w:p w14:paraId="4DADD3F7">
                  <w:pPr>
                    <w:pStyle w:val="4"/>
                    <w:jc w:val="both"/>
                  </w:pPr>
                  <w:r>
                    <w:rPr>
                      <w:rFonts w:ascii="仿宋_GB2312" w:hAnsi="仿宋_GB2312" w:eastAsia="仿宋_GB2312" w:cs="仿宋_GB2312"/>
                      <w:sz w:val="20"/>
                    </w:rPr>
                    <w:t>▲1、Q235 优质钢材 6m 灯杆，喷塑层平均厚度≥120 um，抗风速≥36.9m/s。</w:t>
                  </w:r>
                </w:p>
                <w:p w14:paraId="071F02A5">
                  <w:pPr>
                    <w:pStyle w:val="4"/>
                    <w:jc w:val="both"/>
                  </w:pPr>
                  <w:r>
                    <w:rPr>
                      <w:rFonts w:ascii="仿宋_GB2312" w:hAnsi="仿宋_GB2312" w:eastAsia="仿宋_GB2312" w:cs="仿宋_GB2312"/>
                      <w:sz w:val="20"/>
                    </w:rPr>
                    <w:t>2、灯杆上口径≥60mm，下口径≥140mm,壁厚≥3.5mm，法兰边长≥300*300mm,法兰厚度≥16mm。</w:t>
                  </w:r>
                </w:p>
                <w:p w14:paraId="7251A5A9">
                  <w:pPr>
                    <w:pStyle w:val="4"/>
                    <w:jc w:val="both"/>
                  </w:pPr>
                  <w:r>
                    <w:rPr>
                      <w:rFonts w:ascii="仿宋_GB2312" w:hAnsi="仿宋_GB2312" w:eastAsia="仿宋_GB2312" w:cs="仿宋_GB2312"/>
                      <w:sz w:val="20"/>
                    </w:rPr>
                    <w:t>▲3、法兰焊接位置偏差量≦3mm；</w:t>
                  </w:r>
                </w:p>
                <w:p w14:paraId="4B45C882">
                  <w:pPr>
                    <w:pStyle w:val="4"/>
                    <w:jc w:val="both"/>
                  </w:pPr>
                  <w:r>
                    <w:rPr>
                      <w:rFonts w:ascii="仿宋_GB2312" w:hAnsi="仿宋_GB2312" w:eastAsia="仿宋_GB2312" w:cs="仿宋_GB2312"/>
                      <w:sz w:val="20"/>
                    </w:rPr>
                    <w:t>4、整体镀锌烤漆工艺，配控制器、基础架，灯杆应喷涂“建行捐赠”等标识。</w:t>
                  </w:r>
                </w:p>
              </w:tc>
              <w:tc>
                <w:tcPr>
                  <w:tcW w:w="568" w:type="dxa"/>
                  <w:vMerge w:val="restart"/>
                  <w:tcBorders>
                    <w:top w:val="nil"/>
                    <w:left w:val="nil"/>
                    <w:bottom w:val="single" w:color="000000" w:sz="4" w:space="0"/>
                    <w:right w:val="single" w:color="000000" w:sz="4" w:space="0"/>
                  </w:tcBorders>
                  <w:tcMar>
                    <w:top w:w="0" w:type="dxa"/>
                    <w:left w:w="105" w:type="dxa"/>
                    <w:bottom w:w="0" w:type="dxa"/>
                    <w:right w:w="105" w:type="dxa"/>
                  </w:tcMar>
                  <w:vAlign w:val="top"/>
                </w:tcPr>
                <w:p w14:paraId="142301D4">
                  <w:pPr>
                    <w:pStyle w:val="4"/>
                    <w:jc w:val="left"/>
                  </w:pPr>
                  <w:r>
                    <w:rPr>
                      <w:rFonts w:ascii="仿宋_GB2312" w:hAnsi="仿宋_GB2312" w:eastAsia="仿宋_GB2312" w:cs="仿宋_GB2312"/>
                      <w:color w:val="000000"/>
                      <w:sz w:val="24"/>
                    </w:rPr>
                    <w:t>套</w:t>
                  </w:r>
                </w:p>
              </w:tc>
            </w:tr>
            <w:tr w14:paraId="077BA38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CFD9E8F">
                  <w:pPr>
                    <w:pStyle w:val="4"/>
                    <w:spacing w:before="105" w:after="120"/>
                    <w:jc w:val="both"/>
                  </w:pPr>
                  <w:r>
                    <w:rPr>
                      <w:rFonts w:ascii="仿宋_GB2312" w:hAnsi="仿宋_GB2312" w:eastAsia="仿宋_GB2312" w:cs="仿宋_GB2312"/>
                      <w:sz w:val="20"/>
                    </w:rPr>
                    <w:t>（二）LED光源及灯具：</w:t>
                  </w:r>
                </w:p>
                <w:p w14:paraId="5FF4F09F">
                  <w:pPr>
                    <w:pStyle w:val="4"/>
                    <w:jc w:val="both"/>
                  </w:pPr>
                  <w:r>
                    <w:rPr>
                      <w:rFonts w:ascii="仿宋_GB2312" w:hAnsi="仿宋_GB2312" w:eastAsia="仿宋_GB2312" w:cs="仿宋_GB2312"/>
                      <w:sz w:val="20"/>
                    </w:rPr>
                    <w:t>▲1、LED灯头功率≥70W。</w:t>
                  </w:r>
                </w:p>
                <w:p w14:paraId="24F45E54">
                  <w:pPr>
                    <w:pStyle w:val="4"/>
                    <w:jc w:val="both"/>
                  </w:pPr>
                  <w:r>
                    <w:rPr>
                      <w:rFonts w:ascii="仿宋_GB2312" w:hAnsi="仿宋_GB2312" w:eastAsia="仿宋_GB2312" w:cs="仿宋_GB2312"/>
                      <w:sz w:val="20"/>
                    </w:rPr>
                    <w:t>▲2、色温:冷光≥5000K；显色指数≥70。</w:t>
                  </w:r>
                </w:p>
                <w:p w14:paraId="7E7D4A27">
                  <w:pPr>
                    <w:pStyle w:val="4"/>
                    <w:jc w:val="both"/>
                  </w:pPr>
                  <w:r>
                    <w:rPr>
                      <w:rFonts w:ascii="仿宋_GB2312" w:hAnsi="仿宋_GB2312" w:eastAsia="仿宋_GB2312" w:cs="仿宋_GB2312"/>
                      <w:sz w:val="20"/>
                    </w:rPr>
                    <w:t>▲3、照射面积大于100平米。</w:t>
                  </w:r>
                </w:p>
                <w:p w14:paraId="5C590401">
                  <w:pPr>
                    <w:pStyle w:val="4"/>
                    <w:jc w:val="both"/>
                  </w:pPr>
                  <w:r>
                    <w:rPr>
                      <w:rFonts w:ascii="仿宋_GB2312" w:hAnsi="仿宋_GB2312" w:eastAsia="仿宋_GB2312" w:cs="仿宋_GB2312"/>
                      <w:sz w:val="20"/>
                    </w:rPr>
                    <w:t>4、亮度智能控制，灯身、灯罩材质为碳纤维。</w:t>
                  </w:r>
                </w:p>
                <w:p w14:paraId="1D9020E7">
                  <w:pPr>
                    <w:pStyle w:val="4"/>
                    <w:jc w:val="both"/>
                  </w:pPr>
                  <w:r>
                    <w:rPr>
                      <w:rFonts w:ascii="仿宋_GB2312" w:hAnsi="仿宋_GB2312" w:eastAsia="仿宋_GB2312" w:cs="仿宋_GB2312"/>
                      <w:sz w:val="20"/>
                    </w:rPr>
                    <w:t>5、灯具外壳采用高强度压铸铝，表面采用无尘静电喷粉，涂层厚度不低于40 um。</w:t>
                  </w:r>
                </w:p>
              </w:tc>
              <w:tc>
                <w:tcPr>
                  <w:tcW w:w="568" w:type="dxa"/>
                  <w:vMerge w:val="continue"/>
                  <w:tcBorders>
                    <w:top w:val="nil"/>
                    <w:left w:val="nil"/>
                    <w:bottom w:val="single" w:color="000000" w:sz="4" w:space="0"/>
                    <w:right w:val="single" w:color="000000" w:sz="4" w:space="0"/>
                  </w:tcBorders>
                </w:tcPr>
                <w:p w14:paraId="19F6EBFF"/>
              </w:tc>
            </w:tr>
            <w:tr w14:paraId="2FA044F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6163B07">
                  <w:pPr>
                    <w:pStyle w:val="4"/>
                    <w:spacing w:before="105" w:after="120"/>
                    <w:jc w:val="both"/>
                  </w:pPr>
                  <w:r>
                    <w:rPr>
                      <w:rFonts w:ascii="仿宋_GB2312" w:hAnsi="仿宋_GB2312" w:eastAsia="仿宋_GB2312" w:cs="仿宋_GB2312"/>
                      <w:sz w:val="20"/>
                    </w:rPr>
                    <w:t>（三）太阳板及光伏板：</w:t>
                  </w:r>
                </w:p>
                <w:p w14:paraId="3D112C21">
                  <w:pPr>
                    <w:pStyle w:val="4"/>
                    <w:jc w:val="both"/>
                  </w:pPr>
                  <w:r>
                    <w:rPr>
                      <w:rFonts w:ascii="仿宋_GB2312" w:hAnsi="仿宋_GB2312" w:eastAsia="仿宋_GB2312" w:cs="仿宋_GB2312"/>
                      <w:sz w:val="20"/>
                    </w:rPr>
                    <w:t>▲1、太阳能、光伏板功率：≥80W。</w:t>
                  </w:r>
                </w:p>
                <w:p w14:paraId="54129C52">
                  <w:pPr>
                    <w:pStyle w:val="4"/>
                    <w:jc w:val="both"/>
                  </w:pPr>
                  <w:r>
                    <w:rPr>
                      <w:rFonts w:ascii="仿宋_GB2312" w:hAnsi="仿宋_GB2312" w:eastAsia="仿宋_GB2312" w:cs="仿宋_GB2312"/>
                      <w:sz w:val="20"/>
                    </w:rPr>
                    <w:t>2、转换效率:≥17%;</w:t>
                  </w:r>
                </w:p>
                <w:p w14:paraId="497CB527">
                  <w:pPr>
                    <w:pStyle w:val="4"/>
                    <w:jc w:val="left"/>
                  </w:pPr>
                  <w:r>
                    <w:rPr>
                      <w:rFonts w:ascii="仿宋_GB2312" w:hAnsi="仿宋_GB2312" w:eastAsia="仿宋_GB2312" w:cs="仿宋_GB2312"/>
                      <w:sz w:val="20"/>
                    </w:rPr>
                    <w:t>3、输出采用密封防水，高可靠性多功能接线盒，可适应各种复杂恶劣气候条件下的使用.</w:t>
                  </w:r>
                  <w:r>
                    <w:rPr>
                      <w:rFonts w:ascii="仿宋_GB2312" w:hAnsi="仿宋_GB2312" w:eastAsia="仿宋_GB2312" w:cs="仿宋_GB2312"/>
                      <w:sz w:val="19"/>
                    </w:rPr>
                    <w:t xml:space="preserve"> </w:t>
                  </w:r>
                </w:p>
                <w:p w14:paraId="783CDEC9">
                  <w:pPr>
                    <w:pStyle w:val="4"/>
                    <w:jc w:val="left"/>
                  </w:pPr>
                  <w:r>
                    <w:rPr>
                      <w:rFonts w:ascii="仿宋_GB2312" w:hAnsi="仿宋_GB2312" w:eastAsia="仿宋_GB2312" w:cs="仿宋_GB2312"/>
                      <w:sz w:val="20"/>
                    </w:rPr>
                    <w:t>4、太阳能光伏组件通过绝缘试验，在耐压试验中，无绝缘击穿或表面无破裂现象;在绝缘电阻实验中，组件面积≥0.67m，其绝缘电阻＞500MΩ:</w:t>
                  </w:r>
                </w:p>
              </w:tc>
              <w:tc>
                <w:tcPr>
                  <w:tcW w:w="568" w:type="dxa"/>
                  <w:vMerge w:val="continue"/>
                  <w:tcBorders>
                    <w:top w:val="nil"/>
                    <w:left w:val="nil"/>
                    <w:bottom w:val="single" w:color="000000" w:sz="4" w:space="0"/>
                    <w:right w:val="single" w:color="000000" w:sz="4" w:space="0"/>
                  </w:tcBorders>
                </w:tcPr>
                <w:p w14:paraId="71886898"/>
              </w:tc>
            </w:tr>
            <w:tr w14:paraId="6D7FBF8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029A353">
                  <w:pPr>
                    <w:pStyle w:val="4"/>
                    <w:spacing w:before="105" w:after="120"/>
                    <w:jc w:val="both"/>
                  </w:pPr>
                  <w:r>
                    <w:rPr>
                      <w:rFonts w:ascii="仿宋_GB2312" w:hAnsi="仿宋_GB2312" w:eastAsia="仿宋_GB2312" w:cs="仿宋_GB2312"/>
                      <w:sz w:val="20"/>
                    </w:rPr>
                    <w:t>(四）磷酸铁锂电池</w:t>
                  </w:r>
                </w:p>
                <w:p w14:paraId="65296867">
                  <w:pPr>
                    <w:pStyle w:val="4"/>
                    <w:jc w:val="both"/>
                  </w:pPr>
                  <w:r>
                    <w:rPr>
                      <w:rFonts w:ascii="仿宋_GB2312" w:hAnsi="仿宋_GB2312" w:eastAsia="仿宋_GB2312" w:cs="仿宋_GB2312"/>
                      <w:sz w:val="20"/>
                    </w:rPr>
                    <w:t>太阳能路灯专用磷酸铁锂电池，具有防水、防潮、防腐、保温隔热、通气等功能，满足电池的防盗功能。</w:t>
                  </w:r>
                </w:p>
                <w:p w14:paraId="6254A6B3">
                  <w:pPr>
                    <w:pStyle w:val="4"/>
                    <w:jc w:val="both"/>
                  </w:pPr>
                  <w:r>
                    <w:rPr>
                      <w:rFonts w:ascii="仿宋_GB2312" w:hAnsi="仿宋_GB2312" w:eastAsia="仿宋_GB2312" w:cs="仿宋_GB2312"/>
                      <w:sz w:val="20"/>
                    </w:rPr>
                    <w:t>▲1、规格：太阳能专用磷酸铁锂电池，容量≥80AH。</w:t>
                  </w:r>
                </w:p>
                <w:p w14:paraId="13885CEB">
                  <w:pPr>
                    <w:pStyle w:val="4"/>
                    <w:jc w:val="both"/>
                  </w:pPr>
                  <w:r>
                    <w:rPr>
                      <w:rFonts w:ascii="仿宋_GB2312" w:hAnsi="仿宋_GB2312" w:eastAsia="仿宋_GB2312" w:cs="仿宋_GB2312"/>
                      <w:sz w:val="20"/>
                    </w:rPr>
                    <w:t>▲2、电池须用专业的防水盒封装，防水盒防护等级≥IP66。</w:t>
                  </w:r>
                </w:p>
                <w:p w14:paraId="1B9C4986">
                  <w:pPr>
                    <w:pStyle w:val="4"/>
                    <w:jc w:val="both"/>
                  </w:pPr>
                  <w:r>
                    <w:rPr>
                      <w:rFonts w:ascii="仿宋_GB2312" w:hAnsi="仿宋_GB2312" w:eastAsia="仿宋_GB2312" w:cs="仿宋_GB2312"/>
                      <w:sz w:val="20"/>
                    </w:rPr>
                    <w:t>3、断路保护功能:放电电压低于开路电路80%时自动断电;</w:t>
                  </w:r>
                </w:p>
                <w:p w14:paraId="1332DB76">
                  <w:pPr>
                    <w:pStyle w:val="4"/>
                    <w:jc w:val="both"/>
                  </w:pPr>
                  <w:r>
                    <w:rPr>
                      <w:rFonts w:ascii="仿宋_GB2312" w:hAnsi="仿宋_GB2312" w:eastAsia="仿宋_GB2312" w:cs="仿宋_GB2312"/>
                      <w:sz w:val="20"/>
                    </w:rPr>
                    <w:t>4、电池10H率容量:100%(即在10小时内将电池电量正常放完，放电电量等于电池标称容量的100%)。</w:t>
                  </w:r>
                </w:p>
              </w:tc>
              <w:tc>
                <w:tcPr>
                  <w:tcW w:w="568" w:type="dxa"/>
                  <w:vMerge w:val="continue"/>
                  <w:tcBorders>
                    <w:top w:val="nil"/>
                    <w:left w:val="nil"/>
                    <w:bottom w:val="single" w:color="000000" w:sz="4" w:space="0"/>
                    <w:right w:val="single" w:color="000000" w:sz="4" w:space="0"/>
                  </w:tcBorders>
                </w:tcPr>
                <w:p w14:paraId="11035186"/>
              </w:tc>
            </w:tr>
            <w:tr w14:paraId="4C6FF5C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2ECC55E">
                  <w:pPr>
                    <w:pStyle w:val="4"/>
                    <w:jc w:val="both"/>
                  </w:pPr>
                  <w:r>
                    <w:rPr>
                      <w:rFonts w:ascii="仿宋_GB2312" w:hAnsi="仿宋_GB2312" w:eastAsia="仿宋_GB2312" w:cs="仿宋_GB2312"/>
                      <w:sz w:val="20"/>
                    </w:rPr>
                    <w:t>（五）控制器</w:t>
                  </w:r>
                </w:p>
                <w:p w14:paraId="18FD22AD">
                  <w:pPr>
                    <w:pStyle w:val="4"/>
                    <w:jc w:val="both"/>
                  </w:pPr>
                  <w:r>
                    <w:rPr>
                      <w:rFonts w:ascii="仿宋_GB2312" w:hAnsi="仿宋_GB2312" w:eastAsia="仿宋_GB2312" w:cs="仿宋_GB2312"/>
                      <w:sz w:val="20"/>
                    </w:rPr>
                    <w:t xml:space="preserve">  具有过充保护功能、欠压保护功能、负载短路保护、极性反接保护等功能。全自动光感控制，照度达到一定值自动开关灯，日常无人值守，具有完善保护功能。年日照时间大于2200小时地区，日照明时间8-10小时。</w:t>
                  </w:r>
                </w:p>
                <w:p w14:paraId="6F00C30E">
                  <w:pPr>
                    <w:pStyle w:val="4"/>
                    <w:jc w:val="left"/>
                  </w:pPr>
                  <w:r>
                    <w:rPr>
                      <w:rFonts w:ascii="仿宋_GB2312" w:hAnsi="仿宋_GB2312" w:eastAsia="仿宋_GB2312" w:cs="仿宋_GB2312"/>
                      <w:sz w:val="20"/>
                    </w:rPr>
                    <w:t xml:space="preserve">▲1、具有充满断开和恢复功能，充满断开点电压≤12.6V；具有欠压断开和恢复功能，欠压断开电压≥9V，欠压恢复电压≥10V。      </w:t>
                  </w:r>
                </w:p>
                <w:p w14:paraId="7CB496F4">
                  <w:pPr>
                    <w:pStyle w:val="4"/>
                    <w:jc w:val="left"/>
                  </w:pPr>
                  <w:r>
                    <w:rPr>
                      <w:rFonts w:ascii="仿宋_GB2312" w:hAnsi="仿宋_GB2312" w:eastAsia="仿宋_GB2312" w:cs="仿宋_GB2312"/>
                      <w:sz w:val="20"/>
                    </w:rPr>
                    <w:t>2、控制器空载损耗≤1%。</w:t>
                  </w:r>
                </w:p>
                <w:p w14:paraId="1270C1E3">
                  <w:pPr>
                    <w:pStyle w:val="4"/>
                    <w:jc w:val="left"/>
                  </w:pPr>
                  <w:r>
                    <w:rPr>
                      <w:rFonts w:ascii="仿宋_GB2312" w:hAnsi="仿宋_GB2312" w:eastAsia="仿宋_GB2312" w:cs="仿宋_GB2312"/>
                      <w:sz w:val="20"/>
                    </w:rPr>
                    <w:t>3、保护功能：负载短路、极性反接、反向放电、耐冲击电压和耐冲击电流等保护功能。</w:t>
                  </w:r>
                </w:p>
                <w:p w14:paraId="11389374">
                  <w:pPr>
                    <w:pStyle w:val="4"/>
                    <w:jc w:val="left"/>
                  </w:pPr>
                  <w:r>
                    <w:rPr>
                      <w:rFonts w:ascii="仿宋_GB2312" w:hAnsi="仿宋_GB2312" w:eastAsia="仿宋_GB2312" w:cs="仿宋_GB2312"/>
                      <w:sz w:val="20"/>
                    </w:rPr>
                    <w:t xml:space="preserve">4、控制器通过低温、高温和恒定湿热试验后可正常工作。     </w:t>
                  </w:r>
                  <w:r>
                    <w:rPr>
                      <w:rFonts w:ascii="仿宋_GB2312" w:hAnsi="仿宋_GB2312" w:eastAsia="仿宋_GB2312" w:cs="仿宋_GB2312"/>
                      <w:sz w:val="19"/>
                    </w:rPr>
                    <w:t xml:space="preserve">                                                                                                      </w:t>
                  </w:r>
                </w:p>
              </w:tc>
              <w:tc>
                <w:tcPr>
                  <w:tcW w:w="568" w:type="dxa"/>
                  <w:vMerge w:val="continue"/>
                  <w:tcBorders>
                    <w:top w:val="nil"/>
                    <w:left w:val="nil"/>
                    <w:bottom w:val="single" w:color="000000" w:sz="4" w:space="0"/>
                    <w:right w:val="single" w:color="000000" w:sz="4" w:space="0"/>
                  </w:tcBorders>
                </w:tcPr>
                <w:p w14:paraId="43021E95"/>
              </w:tc>
            </w:tr>
            <w:tr w14:paraId="472150D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B04DF7F">
                  <w:pPr>
                    <w:pStyle w:val="4"/>
                    <w:jc w:val="left"/>
                  </w:pPr>
                  <w:r>
                    <w:rPr>
                      <w:rFonts w:ascii="仿宋_GB2312" w:hAnsi="仿宋_GB2312" w:eastAsia="仿宋_GB2312" w:cs="仿宋_GB2312"/>
                      <w:sz w:val="20"/>
                    </w:rPr>
                    <w:t>（六）基础预埋件</w:t>
                  </w:r>
                </w:p>
                <w:p w14:paraId="145EE979">
                  <w:pPr>
                    <w:pStyle w:val="4"/>
                    <w:jc w:val="left"/>
                  </w:pPr>
                  <w:r>
                    <w:rPr>
                      <w:rFonts w:ascii="仿宋_GB2312" w:hAnsi="仿宋_GB2312" w:eastAsia="仿宋_GB2312" w:cs="仿宋_GB2312"/>
                      <w:sz w:val="20"/>
                    </w:rPr>
                    <w:t>1、原材达到 Q235B 级，直径≥16mm。</w:t>
                  </w:r>
                </w:p>
                <w:p w14:paraId="5D80F5B7">
                  <w:pPr>
                    <w:pStyle w:val="4"/>
                    <w:jc w:val="left"/>
                  </w:pPr>
                  <w:r>
                    <w:rPr>
                      <w:rFonts w:ascii="仿宋_GB2312" w:hAnsi="仿宋_GB2312" w:eastAsia="仿宋_GB2312" w:cs="仿宋_GB2312"/>
                      <w:sz w:val="20"/>
                    </w:rPr>
                    <w:t>▲2、路灯基础预埋件:原材上屈服强度≥220MPa,断后伸长率≥20%。</w:t>
                  </w:r>
                </w:p>
                <w:p w14:paraId="4AB2877F">
                  <w:pPr>
                    <w:pStyle w:val="4"/>
                    <w:jc w:val="left"/>
                  </w:pPr>
                  <w:r>
                    <w:rPr>
                      <w:rFonts w:ascii="仿宋_GB2312" w:hAnsi="仿宋_GB2312" w:eastAsia="仿宋_GB2312" w:cs="仿宋_GB2312"/>
                      <w:sz w:val="20"/>
                    </w:rPr>
                    <w:t>3、灯座基础：含土方开挖、回填、地脚预埋、混凝土浇筑等，基础尺寸：400×400×600mm。C25 混凝土浇筑。</w:t>
                  </w:r>
                </w:p>
              </w:tc>
              <w:tc>
                <w:tcPr>
                  <w:tcW w:w="568" w:type="dxa"/>
                  <w:vMerge w:val="continue"/>
                  <w:tcBorders>
                    <w:top w:val="nil"/>
                    <w:left w:val="nil"/>
                    <w:bottom w:val="single" w:color="000000" w:sz="4" w:space="0"/>
                    <w:right w:val="single" w:color="000000" w:sz="4" w:space="0"/>
                  </w:tcBorders>
                </w:tcPr>
                <w:p w14:paraId="4832A6E7"/>
              </w:tc>
            </w:tr>
            <w:tr w14:paraId="4A59DF4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3149D1B">
                  <w:pPr>
                    <w:pStyle w:val="4"/>
                    <w:jc w:val="left"/>
                  </w:pPr>
                  <w:r>
                    <w:rPr>
                      <w:rFonts w:ascii="仿宋_GB2312" w:hAnsi="仿宋_GB2312" w:eastAsia="仿宋_GB2312" w:cs="仿宋_GB2312"/>
                      <w:sz w:val="20"/>
                    </w:rPr>
                    <w:t>（七）灯箱制作</w:t>
                  </w:r>
                </w:p>
                <w:p w14:paraId="23419822">
                  <w:pPr>
                    <w:pStyle w:val="4"/>
                    <w:jc w:val="left"/>
                  </w:pPr>
                  <w:r>
                    <w:rPr>
                      <w:rFonts w:ascii="仿宋_GB2312" w:hAnsi="仿宋_GB2312" w:eastAsia="仿宋_GB2312" w:cs="仿宋_GB2312"/>
                      <w:sz w:val="20"/>
                    </w:rPr>
                    <w:t>1、灯箱尺寸：100×400×850mm±5mm。</w:t>
                  </w:r>
                </w:p>
                <w:p w14:paraId="6DC77EC2">
                  <w:pPr>
                    <w:pStyle w:val="4"/>
                    <w:jc w:val="left"/>
                  </w:pPr>
                  <w:r>
                    <w:rPr>
                      <w:rFonts w:ascii="仿宋_GB2312" w:hAnsi="仿宋_GB2312" w:eastAsia="仿宋_GB2312" w:cs="仿宋_GB2312"/>
                      <w:sz w:val="20"/>
                    </w:rPr>
                    <w:t>▲2、材质：≥1.3mm厚镀锌板，发光面亚克力。</w:t>
                  </w:r>
                </w:p>
                <w:p w14:paraId="49197630">
                  <w:pPr>
                    <w:pStyle w:val="4"/>
                    <w:jc w:val="left"/>
                  </w:pPr>
                  <w:r>
                    <w:rPr>
                      <w:rFonts w:ascii="仿宋_GB2312" w:hAnsi="仿宋_GB2312" w:eastAsia="仿宋_GB2312" w:cs="仿宋_GB2312"/>
                      <w:sz w:val="20"/>
                    </w:rPr>
                    <w:t>3、LED光源≥20W。</w:t>
                  </w:r>
                </w:p>
                <w:p w14:paraId="755E0BD7">
                  <w:pPr>
                    <w:pStyle w:val="4"/>
                    <w:jc w:val="left"/>
                  </w:pPr>
                  <w:r>
                    <w:rPr>
                      <w:rFonts w:ascii="仿宋_GB2312" w:hAnsi="仿宋_GB2312" w:eastAsia="仿宋_GB2312" w:cs="仿宋_GB2312"/>
                      <w:sz w:val="20"/>
                    </w:rPr>
                    <w:t>▲4、采用户外专用塑粉。</w:t>
                  </w:r>
                </w:p>
                <w:p w14:paraId="3228CA12">
                  <w:pPr>
                    <w:pStyle w:val="4"/>
                    <w:jc w:val="left"/>
                  </w:pPr>
                  <w:r>
                    <w:rPr>
                      <w:rFonts w:ascii="仿宋_GB2312" w:hAnsi="仿宋_GB2312" w:eastAsia="仿宋_GB2312" w:cs="仿宋_GB2312"/>
                      <w:sz w:val="20"/>
                    </w:rPr>
                    <w:t>5、根据采购人指定内容印刷，UV打印，字体清晰。</w:t>
                  </w:r>
                </w:p>
              </w:tc>
              <w:tc>
                <w:tcPr>
                  <w:tcW w:w="568" w:type="dxa"/>
                  <w:tcBorders>
                    <w:top w:val="nil"/>
                    <w:left w:val="nil"/>
                    <w:bottom w:val="single" w:color="000000" w:sz="4" w:space="0"/>
                    <w:right w:val="single" w:color="000000" w:sz="4" w:space="0"/>
                  </w:tcBorders>
                  <w:tcMar>
                    <w:top w:w="0" w:type="dxa"/>
                    <w:left w:w="105" w:type="dxa"/>
                    <w:bottom w:w="0" w:type="dxa"/>
                    <w:right w:w="105" w:type="dxa"/>
                  </w:tcMar>
                  <w:vAlign w:val="top"/>
                </w:tcPr>
                <w:p w14:paraId="0A38FC58">
                  <w:pPr>
                    <w:pStyle w:val="4"/>
                    <w:spacing w:after="120"/>
                    <w:jc w:val="both"/>
                  </w:pPr>
                </w:p>
              </w:tc>
            </w:tr>
            <w:tr w14:paraId="75D0213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7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34EF271">
                  <w:pPr>
                    <w:pStyle w:val="4"/>
                    <w:jc w:val="both"/>
                  </w:pPr>
                  <w:r>
                    <w:rPr>
                      <w:rFonts w:ascii="仿宋_GB2312" w:hAnsi="仿宋_GB2312" w:eastAsia="仿宋_GB2312" w:cs="仿宋_GB2312"/>
                      <w:color w:val="000000"/>
                      <w:sz w:val="20"/>
                    </w:rPr>
                    <w:t>整灯参照样式如下：</w:t>
                  </w:r>
                </w:p>
                <w:p w14:paraId="7AA1347E">
                  <w:pPr>
                    <w:pStyle w:val="4"/>
                    <w:spacing w:after="120"/>
                    <w:jc w:val="both"/>
                  </w:pPr>
                  <w:r>
                    <w:drawing>
                      <wp:inline distT="0" distB="0" distL="0" distR="0">
                        <wp:extent cx="2428875" cy="3236595"/>
                        <wp:effectExtent l="0" t="0" r="9525" b="1905"/>
                        <wp:docPr id="1" name="Drawing 1" descr="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1" descr="img"/>
                                <pic:cNvPicPr>
                                  <a:picLocks noChangeAspect="1"/>
                                </pic:cNvPicPr>
                              </pic:nvPicPr>
                              <pic:blipFill>
                                <a:blip r:embed="rId4"/>
                                <a:stretch>
                                  <a:fillRect/>
                                </a:stretch>
                              </pic:blipFill>
                              <pic:spPr>
                                <a:xfrm>
                                  <a:off x="0" y="0"/>
                                  <a:ext cx="2428875" cy="3237027"/>
                                </a:xfrm>
                                <a:prstGeom prst="rect">
                                  <a:avLst/>
                                </a:prstGeom>
                              </pic:spPr>
                            </pic:pic>
                          </a:graphicData>
                        </a:graphic>
                      </wp:inline>
                    </w:drawing>
                  </w:r>
                </w:p>
                <w:p w14:paraId="1412B97F">
                  <w:pPr>
                    <w:pStyle w:val="4"/>
                    <w:jc w:val="both"/>
                  </w:pPr>
                </w:p>
              </w:tc>
              <w:tc>
                <w:tcPr>
                  <w:tcW w:w="568" w:type="dxa"/>
                  <w:tcBorders>
                    <w:top w:val="nil"/>
                    <w:left w:val="nil"/>
                    <w:bottom w:val="single" w:color="000000" w:sz="4" w:space="0"/>
                    <w:right w:val="single" w:color="000000" w:sz="4" w:space="0"/>
                  </w:tcBorders>
                  <w:tcMar>
                    <w:top w:w="0" w:type="dxa"/>
                    <w:left w:w="105" w:type="dxa"/>
                    <w:bottom w:w="0" w:type="dxa"/>
                    <w:right w:w="105" w:type="dxa"/>
                  </w:tcMar>
                  <w:vAlign w:val="top"/>
                </w:tcPr>
                <w:p w14:paraId="22281DAF">
                  <w:pPr>
                    <w:pStyle w:val="4"/>
                    <w:jc w:val="left"/>
                  </w:pPr>
                  <w:r>
                    <w:rPr>
                      <w:rFonts w:ascii="仿宋_GB2312" w:hAnsi="仿宋_GB2312" w:eastAsia="仿宋_GB2312" w:cs="仿宋_GB2312"/>
                      <w:sz w:val="19"/>
                    </w:rPr>
                    <w:t xml:space="preserve"> </w:t>
                  </w:r>
                </w:p>
              </w:tc>
            </w:tr>
          </w:tbl>
          <w:p w14:paraId="76035693">
            <w:pPr>
              <w:pStyle w:val="4"/>
              <w:jc w:val="left"/>
            </w:pPr>
            <w:r>
              <w:rPr>
                <w:rFonts w:ascii="仿宋_GB2312" w:hAnsi="仿宋_GB2312" w:eastAsia="仿宋_GB2312" w:cs="仿宋_GB2312"/>
                <w:sz w:val="18"/>
              </w:rPr>
              <w:t>注：以上带“▲”号技术参数供应商须提供具有 CMA 或 CNAS 认证标志的第三方检测机构出具的检测报告并加盖供应商公章。</w:t>
            </w:r>
          </w:p>
        </w:tc>
      </w:tr>
    </w:tbl>
    <w:p w14:paraId="66E2AF94">
      <w:pPr>
        <w:pStyle w:val="4"/>
        <w:jc w:val="left"/>
        <w:outlineLvl w:val="2"/>
      </w:pPr>
      <w:r>
        <w:rPr>
          <w:rFonts w:ascii="仿宋_GB2312" w:hAnsi="仿宋_GB2312" w:eastAsia="仿宋_GB2312" w:cs="仿宋_GB2312"/>
          <w:b/>
          <w:sz w:val="28"/>
        </w:rPr>
        <w:t>3.3.服务要求</w:t>
      </w:r>
    </w:p>
    <w:p w14:paraId="0AA0634A">
      <w:pPr>
        <w:pStyle w:val="4"/>
        <w:jc w:val="left"/>
        <w:outlineLvl w:val="3"/>
      </w:pPr>
      <w:r>
        <w:rPr>
          <w:rFonts w:ascii="仿宋_GB2312" w:hAnsi="仿宋_GB2312" w:eastAsia="仿宋_GB2312" w:cs="仿宋_GB2312"/>
          <w:b/>
          <w:sz w:val="24"/>
        </w:rPr>
        <w:t>3.3.1.服务内容要求</w:t>
      </w:r>
    </w:p>
    <w:p w14:paraId="3F46FD87">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54EDB69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 w:type="dxa"/>
          </w:tcPr>
          <w:p w14:paraId="304938D9">
            <w:pPr>
              <w:pStyle w:val="4"/>
              <w:jc w:val="center"/>
            </w:pPr>
            <w:r>
              <w:rPr>
                <w:rFonts w:ascii="仿宋_GB2312" w:hAnsi="仿宋_GB2312" w:eastAsia="仿宋_GB2312" w:cs="仿宋_GB2312"/>
              </w:rPr>
              <w:t xml:space="preserve"> 序号</w:t>
            </w:r>
          </w:p>
        </w:tc>
        <w:tc>
          <w:tcPr>
            <w:tcW w:w="581" w:type="dxa"/>
          </w:tcPr>
          <w:p w14:paraId="6FDAD9D2">
            <w:pPr>
              <w:pStyle w:val="4"/>
              <w:jc w:val="center"/>
            </w:pPr>
            <w:r>
              <w:rPr>
                <w:rFonts w:ascii="仿宋_GB2312" w:hAnsi="仿宋_GB2312" w:eastAsia="仿宋_GB2312" w:cs="仿宋_GB2312"/>
              </w:rPr>
              <w:t xml:space="preserve"> 符号标识</w:t>
            </w:r>
          </w:p>
        </w:tc>
        <w:tc>
          <w:tcPr>
            <w:tcW w:w="1495" w:type="dxa"/>
          </w:tcPr>
          <w:p w14:paraId="2B1A63CE">
            <w:pPr>
              <w:pStyle w:val="4"/>
              <w:jc w:val="center"/>
            </w:pPr>
            <w:r>
              <w:rPr>
                <w:rFonts w:ascii="仿宋_GB2312" w:hAnsi="仿宋_GB2312" w:eastAsia="仿宋_GB2312" w:cs="仿宋_GB2312"/>
              </w:rPr>
              <w:t xml:space="preserve"> 服务要求名称</w:t>
            </w:r>
          </w:p>
        </w:tc>
        <w:tc>
          <w:tcPr>
            <w:tcW w:w="5814" w:type="dxa"/>
          </w:tcPr>
          <w:p w14:paraId="37E14E6B">
            <w:pPr>
              <w:pStyle w:val="4"/>
              <w:jc w:val="center"/>
            </w:pPr>
            <w:r>
              <w:rPr>
                <w:rFonts w:ascii="仿宋_GB2312" w:hAnsi="仿宋_GB2312" w:eastAsia="仿宋_GB2312" w:cs="仿宋_GB2312"/>
              </w:rPr>
              <w:t xml:space="preserve"> 服务要求内容</w:t>
            </w:r>
          </w:p>
        </w:tc>
      </w:tr>
      <w:tr w14:paraId="45D158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74493733">
            <w:pPr>
              <w:pStyle w:val="4"/>
              <w:jc w:val="center"/>
            </w:pPr>
            <w:r>
              <w:rPr>
                <w:rFonts w:ascii="仿宋_GB2312" w:hAnsi="仿宋_GB2312" w:eastAsia="仿宋_GB2312" w:cs="仿宋_GB2312"/>
              </w:rPr>
              <w:t>1</w:t>
            </w:r>
          </w:p>
        </w:tc>
        <w:tc>
          <w:tcPr>
            <w:tcW w:w="581" w:type="dxa"/>
          </w:tcPr>
          <w:p w14:paraId="20147DF9">
            <w:pPr>
              <w:pStyle w:val="4"/>
              <w:jc w:val="center"/>
            </w:pPr>
            <w:r>
              <w:rPr>
                <w:rFonts w:ascii="仿宋_GB2312" w:hAnsi="仿宋_GB2312" w:eastAsia="仿宋_GB2312" w:cs="仿宋_GB2312"/>
              </w:rPr>
              <w:t>★</w:t>
            </w:r>
          </w:p>
        </w:tc>
        <w:tc>
          <w:tcPr>
            <w:tcW w:w="1495" w:type="dxa"/>
          </w:tcPr>
          <w:p w14:paraId="4E00AF9A">
            <w:pPr>
              <w:pStyle w:val="4"/>
              <w:jc w:val="left"/>
            </w:pPr>
            <w:r>
              <w:rPr>
                <w:rFonts w:ascii="仿宋_GB2312" w:hAnsi="仿宋_GB2312" w:eastAsia="仿宋_GB2312" w:cs="仿宋_GB2312"/>
              </w:rPr>
              <w:t>服务要求</w:t>
            </w:r>
          </w:p>
        </w:tc>
        <w:tc>
          <w:tcPr>
            <w:tcW w:w="5814" w:type="dxa"/>
          </w:tcPr>
          <w:p w14:paraId="3978385F">
            <w:pPr>
              <w:pStyle w:val="4"/>
              <w:spacing w:after="120"/>
              <w:ind w:firstLine="480"/>
              <w:jc w:val="both"/>
            </w:pPr>
            <w:r>
              <w:rPr>
                <w:rFonts w:ascii="仿宋_GB2312" w:hAnsi="仿宋_GB2312" w:eastAsia="仿宋_GB2312" w:cs="仿宋_GB2312"/>
                <w:color w:val="000000"/>
                <w:sz w:val="24"/>
              </w:rPr>
              <w:t>1.供应商须提供全新的货物(含零部件、配件、使用说明书等)，表面无划伤、无碰撞痕迹，且权属清楚，不得侵害他人的知识产权，不得以次充好，产品来源渠道必须合法，同时应根据国家有关规定、采购人的要求做好售后服务工作。</w:t>
            </w:r>
          </w:p>
          <w:p w14:paraId="498291CC">
            <w:pPr>
              <w:pStyle w:val="4"/>
              <w:spacing w:after="120"/>
              <w:ind w:firstLine="480"/>
              <w:jc w:val="both"/>
            </w:pPr>
            <w:r>
              <w:rPr>
                <w:rFonts w:ascii="仿宋_GB2312" w:hAnsi="仿宋_GB2312" w:eastAsia="仿宋_GB2312" w:cs="仿宋_GB2312"/>
                <w:color w:val="000000"/>
                <w:sz w:val="24"/>
              </w:rPr>
              <w:t>2.供应商提供的产品必须符合或优于国家标准、行业标准、地方标准等标准、规范，以及磋商文件的质量要求和技术指标与出厂标准。</w:t>
            </w:r>
          </w:p>
          <w:p w14:paraId="4B964D86">
            <w:pPr>
              <w:pStyle w:val="4"/>
              <w:spacing w:after="120"/>
              <w:ind w:firstLine="480"/>
              <w:jc w:val="both"/>
            </w:pPr>
            <w:r>
              <w:rPr>
                <w:rFonts w:ascii="仿宋_GB2312" w:hAnsi="仿宋_GB2312" w:eastAsia="仿宋_GB2312" w:cs="仿宋_GB2312"/>
                <w:color w:val="000000"/>
                <w:sz w:val="24"/>
              </w:rPr>
              <w:t>3.货物制造质量出现问题，供应商应负责三包(包修、包换、包退)，费用由供应商负担。</w:t>
            </w:r>
          </w:p>
          <w:p w14:paraId="2871C986">
            <w:pPr>
              <w:pStyle w:val="4"/>
              <w:spacing w:after="120"/>
              <w:ind w:firstLine="480"/>
              <w:jc w:val="both"/>
            </w:pPr>
            <w:r>
              <w:rPr>
                <w:rFonts w:ascii="仿宋_GB2312" w:hAnsi="仿宋_GB2312" w:eastAsia="仿宋_GB2312" w:cs="仿宋_GB2312"/>
                <w:color w:val="000000"/>
                <w:sz w:val="24"/>
              </w:rPr>
              <w:t>4.所有设备安装调试均由供应商完成。</w:t>
            </w:r>
          </w:p>
        </w:tc>
      </w:tr>
      <w:tr w14:paraId="2E38DB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37E4EBE">
            <w:pPr>
              <w:pStyle w:val="4"/>
              <w:jc w:val="center"/>
            </w:pPr>
            <w:r>
              <w:rPr>
                <w:rFonts w:ascii="仿宋_GB2312" w:hAnsi="仿宋_GB2312" w:eastAsia="仿宋_GB2312" w:cs="仿宋_GB2312"/>
              </w:rPr>
              <w:t>2</w:t>
            </w:r>
          </w:p>
        </w:tc>
        <w:tc>
          <w:tcPr>
            <w:tcW w:w="581" w:type="dxa"/>
          </w:tcPr>
          <w:p w14:paraId="4D0A606C">
            <w:pPr>
              <w:pStyle w:val="4"/>
              <w:jc w:val="center"/>
            </w:pPr>
            <w:r>
              <w:rPr>
                <w:rFonts w:ascii="仿宋_GB2312" w:hAnsi="仿宋_GB2312" w:eastAsia="仿宋_GB2312" w:cs="仿宋_GB2312"/>
              </w:rPr>
              <w:t>★</w:t>
            </w:r>
          </w:p>
        </w:tc>
        <w:tc>
          <w:tcPr>
            <w:tcW w:w="1495" w:type="dxa"/>
          </w:tcPr>
          <w:p w14:paraId="65DD793C">
            <w:pPr>
              <w:pStyle w:val="4"/>
              <w:jc w:val="left"/>
            </w:pPr>
            <w:r>
              <w:rPr>
                <w:rFonts w:ascii="仿宋_GB2312" w:hAnsi="仿宋_GB2312" w:eastAsia="仿宋_GB2312" w:cs="仿宋_GB2312"/>
              </w:rPr>
              <w:t>售后服务要求</w:t>
            </w:r>
          </w:p>
        </w:tc>
        <w:tc>
          <w:tcPr>
            <w:tcW w:w="5814" w:type="dxa"/>
          </w:tcPr>
          <w:p w14:paraId="0580DB8D">
            <w:pPr>
              <w:pStyle w:val="4"/>
              <w:ind w:firstLine="480"/>
              <w:jc w:val="both"/>
            </w:pPr>
            <w:r>
              <w:rPr>
                <w:rFonts w:ascii="仿宋_GB2312" w:hAnsi="仿宋_GB2312" w:eastAsia="仿宋_GB2312" w:cs="仿宋_GB2312"/>
                <w:color w:val="000000"/>
                <w:sz w:val="24"/>
              </w:rPr>
              <w:t>1.供应商售后须保证在30分钟内响应，12小时内到现场处理，并提供7*24小时上门维修服务，未及时排除故障，不能及时处理时需免费提供同档次设备备用，直至故障解决。</w:t>
            </w:r>
          </w:p>
          <w:p w14:paraId="1A16B65D">
            <w:pPr>
              <w:pStyle w:val="4"/>
              <w:ind w:firstLine="480"/>
              <w:jc w:val="both"/>
            </w:pPr>
            <w:r>
              <w:rPr>
                <w:rFonts w:ascii="仿宋_GB2312" w:hAnsi="仿宋_GB2312" w:eastAsia="仿宋_GB2312" w:cs="仿宋_GB2312"/>
                <w:color w:val="000000"/>
                <w:sz w:val="24"/>
              </w:rPr>
              <w:t>2.送货上门、安装、调试，并试运行(提供安装调试方案）。</w:t>
            </w:r>
          </w:p>
          <w:p w14:paraId="3ECBC552">
            <w:pPr>
              <w:pStyle w:val="4"/>
              <w:ind w:firstLine="480"/>
              <w:jc w:val="both"/>
            </w:pPr>
            <w:r>
              <w:rPr>
                <w:rFonts w:ascii="仿宋_GB2312" w:hAnsi="仿宋_GB2312" w:eastAsia="仿宋_GB2312" w:cs="仿宋_GB2312"/>
                <w:color w:val="000000"/>
                <w:sz w:val="24"/>
              </w:rPr>
              <w:t>3.交货时，成交供应商须同时提供产品质量检测报告、合格证书、产品说明书等相关资料。</w:t>
            </w:r>
          </w:p>
        </w:tc>
      </w:tr>
    </w:tbl>
    <w:p w14:paraId="6BBB17A1">
      <w:pPr>
        <w:pStyle w:val="4"/>
        <w:jc w:val="left"/>
        <w:outlineLvl w:val="3"/>
      </w:pPr>
      <w:r>
        <w:rPr>
          <w:rFonts w:ascii="仿宋_GB2312" w:hAnsi="仿宋_GB2312" w:eastAsia="仿宋_GB2312" w:cs="仿宋_GB2312"/>
          <w:b/>
          <w:sz w:val="24"/>
        </w:rPr>
        <w:t>3.3.2.商务要求</w:t>
      </w:r>
    </w:p>
    <w:p w14:paraId="1421ED4E">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246F31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 w:type="dxa"/>
          </w:tcPr>
          <w:p w14:paraId="6616BC52">
            <w:pPr>
              <w:pStyle w:val="4"/>
              <w:jc w:val="center"/>
            </w:pPr>
            <w:r>
              <w:rPr>
                <w:rFonts w:ascii="仿宋_GB2312" w:hAnsi="仿宋_GB2312" w:eastAsia="仿宋_GB2312" w:cs="仿宋_GB2312"/>
              </w:rPr>
              <w:t>序号</w:t>
            </w:r>
          </w:p>
        </w:tc>
        <w:tc>
          <w:tcPr>
            <w:tcW w:w="581" w:type="dxa"/>
          </w:tcPr>
          <w:p w14:paraId="75846100">
            <w:pPr>
              <w:pStyle w:val="4"/>
              <w:jc w:val="center"/>
            </w:pPr>
            <w:r>
              <w:rPr>
                <w:rFonts w:ascii="仿宋_GB2312" w:hAnsi="仿宋_GB2312" w:eastAsia="仿宋_GB2312" w:cs="仿宋_GB2312"/>
              </w:rPr>
              <w:t>符号标识</w:t>
            </w:r>
          </w:p>
        </w:tc>
        <w:tc>
          <w:tcPr>
            <w:tcW w:w="1495" w:type="dxa"/>
          </w:tcPr>
          <w:p w14:paraId="4E28E43F">
            <w:pPr>
              <w:pStyle w:val="4"/>
              <w:jc w:val="center"/>
            </w:pPr>
            <w:r>
              <w:rPr>
                <w:rFonts w:ascii="仿宋_GB2312" w:hAnsi="仿宋_GB2312" w:eastAsia="仿宋_GB2312" w:cs="仿宋_GB2312"/>
              </w:rPr>
              <w:t>商务要求名称</w:t>
            </w:r>
          </w:p>
        </w:tc>
        <w:tc>
          <w:tcPr>
            <w:tcW w:w="5814" w:type="dxa"/>
          </w:tcPr>
          <w:p w14:paraId="6DF75B2E">
            <w:pPr>
              <w:pStyle w:val="4"/>
              <w:jc w:val="center"/>
            </w:pPr>
            <w:r>
              <w:rPr>
                <w:rFonts w:ascii="仿宋_GB2312" w:hAnsi="仿宋_GB2312" w:eastAsia="仿宋_GB2312" w:cs="仿宋_GB2312"/>
              </w:rPr>
              <w:t>商务要求内容</w:t>
            </w:r>
          </w:p>
        </w:tc>
      </w:tr>
      <w:tr w14:paraId="3D67C9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CE14232">
            <w:pPr>
              <w:pStyle w:val="4"/>
              <w:jc w:val="center"/>
            </w:pPr>
            <w:r>
              <w:rPr>
                <w:rFonts w:ascii="仿宋_GB2312" w:hAnsi="仿宋_GB2312" w:eastAsia="仿宋_GB2312" w:cs="仿宋_GB2312"/>
              </w:rPr>
              <w:t>1</w:t>
            </w:r>
          </w:p>
        </w:tc>
        <w:tc>
          <w:tcPr>
            <w:tcW w:w="581" w:type="dxa"/>
          </w:tcPr>
          <w:p w14:paraId="36BE69BD">
            <w:pPr>
              <w:pStyle w:val="4"/>
              <w:jc w:val="center"/>
            </w:pPr>
            <w:r>
              <w:rPr>
                <w:rFonts w:ascii="仿宋_GB2312" w:hAnsi="仿宋_GB2312" w:eastAsia="仿宋_GB2312" w:cs="仿宋_GB2312"/>
              </w:rPr>
              <w:t>★</w:t>
            </w:r>
          </w:p>
        </w:tc>
        <w:tc>
          <w:tcPr>
            <w:tcW w:w="1495" w:type="dxa"/>
          </w:tcPr>
          <w:p w14:paraId="474594C1">
            <w:pPr>
              <w:pStyle w:val="4"/>
              <w:jc w:val="left"/>
            </w:pPr>
            <w:r>
              <w:rPr>
                <w:rFonts w:ascii="仿宋_GB2312" w:hAnsi="仿宋_GB2312" w:eastAsia="仿宋_GB2312" w:cs="仿宋_GB2312"/>
              </w:rPr>
              <w:t>交货时间</w:t>
            </w:r>
          </w:p>
        </w:tc>
        <w:tc>
          <w:tcPr>
            <w:tcW w:w="5814" w:type="dxa"/>
          </w:tcPr>
          <w:p w14:paraId="1764F651">
            <w:pPr>
              <w:pStyle w:val="4"/>
              <w:jc w:val="left"/>
            </w:pPr>
            <w:r>
              <w:rPr>
                <w:rFonts w:ascii="仿宋_GB2312" w:hAnsi="仿宋_GB2312" w:eastAsia="仿宋_GB2312" w:cs="仿宋_GB2312"/>
              </w:rPr>
              <w:t>自合同签订之日起30日</w:t>
            </w:r>
          </w:p>
        </w:tc>
      </w:tr>
      <w:tr w14:paraId="103103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5752566A">
            <w:pPr>
              <w:pStyle w:val="4"/>
              <w:jc w:val="center"/>
            </w:pPr>
            <w:r>
              <w:rPr>
                <w:rFonts w:ascii="仿宋_GB2312" w:hAnsi="仿宋_GB2312" w:eastAsia="仿宋_GB2312" w:cs="仿宋_GB2312"/>
              </w:rPr>
              <w:t>2</w:t>
            </w:r>
          </w:p>
        </w:tc>
        <w:tc>
          <w:tcPr>
            <w:tcW w:w="581" w:type="dxa"/>
          </w:tcPr>
          <w:p w14:paraId="6F3A3D8E">
            <w:pPr>
              <w:pStyle w:val="4"/>
              <w:jc w:val="center"/>
            </w:pPr>
            <w:r>
              <w:rPr>
                <w:rFonts w:ascii="仿宋_GB2312" w:hAnsi="仿宋_GB2312" w:eastAsia="仿宋_GB2312" w:cs="仿宋_GB2312"/>
              </w:rPr>
              <w:t>★</w:t>
            </w:r>
          </w:p>
        </w:tc>
        <w:tc>
          <w:tcPr>
            <w:tcW w:w="1495" w:type="dxa"/>
          </w:tcPr>
          <w:p w14:paraId="2C44D467">
            <w:pPr>
              <w:pStyle w:val="4"/>
              <w:jc w:val="left"/>
            </w:pPr>
            <w:r>
              <w:rPr>
                <w:rFonts w:ascii="仿宋_GB2312" w:hAnsi="仿宋_GB2312" w:eastAsia="仿宋_GB2312" w:cs="仿宋_GB2312"/>
              </w:rPr>
              <w:t>交货地点</w:t>
            </w:r>
          </w:p>
        </w:tc>
        <w:tc>
          <w:tcPr>
            <w:tcW w:w="5814" w:type="dxa"/>
          </w:tcPr>
          <w:p w14:paraId="0A8169E3">
            <w:pPr>
              <w:pStyle w:val="4"/>
              <w:jc w:val="left"/>
            </w:pPr>
            <w:r>
              <w:rPr>
                <w:rFonts w:ascii="仿宋_GB2312" w:hAnsi="仿宋_GB2312" w:eastAsia="仿宋_GB2312" w:cs="仿宋_GB2312"/>
              </w:rPr>
              <w:t>采购人指定地点</w:t>
            </w:r>
          </w:p>
        </w:tc>
      </w:tr>
      <w:tr w14:paraId="2375866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9DB0C4A">
            <w:pPr>
              <w:pStyle w:val="4"/>
              <w:jc w:val="center"/>
            </w:pPr>
            <w:r>
              <w:rPr>
                <w:rFonts w:ascii="仿宋_GB2312" w:hAnsi="仿宋_GB2312" w:eastAsia="仿宋_GB2312" w:cs="仿宋_GB2312"/>
              </w:rPr>
              <w:t>3</w:t>
            </w:r>
          </w:p>
        </w:tc>
        <w:tc>
          <w:tcPr>
            <w:tcW w:w="581" w:type="dxa"/>
          </w:tcPr>
          <w:p w14:paraId="155D9197">
            <w:pPr>
              <w:pStyle w:val="4"/>
              <w:jc w:val="center"/>
            </w:pPr>
            <w:r>
              <w:rPr>
                <w:rFonts w:ascii="仿宋_GB2312" w:hAnsi="仿宋_GB2312" w:eastAsia="仿宋_GB2312" w:cs="仿宋_GB2312"/>
              </w:rPr>
              <w:t>★</w:t>
            </w:r>
          </w:p>
        </w:tc>
        <w:tc>
          <w:tcPr>
            <w:tcW w:w="1495" w:type="dxa"/>
          </w:tcPr>
          <w:p w14:paraId="0DAD9864">
            <w:pPr>
              <w:pStyle w:val="4"/>
              <w:jc w:val="left"/>
            </w:pPr>
            <w:r>
              <w:rPr>
                <w:rFonts w:ascii="仿宋_GB2312" w:hAnsi="仿宋_GB2312" w:eastAsia="仿宋_GB2312" w:cs="仿宋_GB2312"/>
              </w:rPr>
              <w:t>支付方式</w:t>
            </w:r>
          </w:p>
        </w:tc>
        <w:tc>
          <w:tcPr>
            <w:tcW w:w="5814" w:type="dxa"/>
          </w:tcPr>
          <w:p w14:paraId="3BAD1CA8">
            <w:pPr>
              <w:pStyle w:val="4"/>
              <w:jc w:val="left"/>
            </w:pPr>
            <w:r>
              <w:rPr>
                <w:rFonts w:ascii="仿宋_GB2312" w:hAnsi="仿宋_GB2312" w:eastAsia="仿宋_GB2312" w:cs="仿宋_GB2312"/>
              </w:rPr>
              <w:t>分期付款</w:t>
            </w:r>
          </w:p>
        </w:tc>
      </w:tr>
      <w:tr w14:paraId="3E3106C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DA4EE00">
            <w:pPr>
              <w:pStyle w:val="4"/>
              <w:jc w:val="center"/>
            </w:pPr>
            <w:r>
              <w:rPr>
                <w:rFonts w:ascii="仿宋_GB2312" w:hAnsi="仿宋_GB2312" w:eastAsia="仿宋_GB2312" w:cs="仿宋_GB2312"/>
              </w:rPr>
              <w:t>4</w:t>
            </w:r>
          </w:p>
        </w:tc>
        <w:tc>
          <w:tcPr>
            <w:tcW w:w="581" w:type="dxa"/>
          </w:tcPr>
          <w:p w14:paraId="3185CD6E">
            <w:pPr>
              <w:pStyle w:val="4"/>
              <w:jc w:val="center"/>
            </w:pPr>
            <w:r>
              <w:rPr>
                <w:rFonts w:ascii="仿宋_GB2312" w:hAnsi="仿宋_GB2312" w:eastAsia="仿宋_GB2312" w:cs="仿宋_GB2312"/>
              </w:rPr>
              <w:t>★</w:t>
            </w:r>
          </w:p>
        </w:tc>
        <w:tc>
          <w:tcPr>
            <w:tcW w:w="1495" w:type="dxa"/>
          </w:tcPr>
          <w:p w14:paraId="07B2D48A">
            <w:pPr>
              <w:pStyle w:val="4"/>
              <w:jc w:val="left"/>
            </w:pPr>
            <w:r>
              <w:rPr>
                <w:rFonts w:ascii="仿宋_GB2312" w:hAnsi="仿宋_GB2312" w:eastAsia="仿宋_GB2312" w:cs="仿宋_GB2312"/>
              </w:rPr>
              <w:t>付款进度安排</w:t>
            </w:r>
          </w:p>
        </w:tc>
        <w:tc>
          <w:tcPr>
            <w:tcW w:w="5814" w:type="dxa"/>
          </w:tcPr>
          <w:p w14:paraId="0B5719D5">
            <w:pPr>
              <w:pStyle w:val="4"/>
              <w:jc w:val="left"/>
            </w:pPr>
            <w:r>
              <w:rPr>
                <w:rFonts w:ascii="仿宋_GB2312" w:hAnsi="仿宋_GB2312" w:eastAsia="仿宋_GB2312" w:cs="仿宋_GB2312"/>
              </w:rPr>
              <w:t>1、预付款，合同签订，达到付款条件起5日内，支付合同总金额的40.00%</w:t>
            </w:r>
          </w:p>
          <w:p w14:paraId="0B88BC3A">
            <w:pPr>
              <w:pStyle w:val="4"/>
              <w:jc w:val="left"/>
            </w:pPr>
            <w:r>
              <w:rPr>
                <w:rFonts w:ascii="仿宋_GB2312" w:hAnsi="仿宋_GB2312" w:eastAsia="仿宋_GB2312" w:cs="仿宋_GB2312"/>
              </w:rPr>
              <w:t>2、尾款，完成交货、安装调试并经采购人验收合格后，达到付款条件起5日内，支付合同总金额的60.00%</w:t>
            </w:r>
          </w:p>
        </w:tc>
      </w:tr>
      <w:tr w14:paraId="5BE8A4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9456050">
            <w:pPr>
              <w:pStyle w:val="4"/>
              <w:jc w:val="center"/>
            </w:pPr>
            <w:r>
              <w:rPr>
                <w:rFonts w:ascii="仿宋_GB2312" w:hAnsi="仿宋_GB2312" w:eastAsia="仿宋_GB2312" w:cs="仿宋_GB2312"/>
              </w:rPr>
              <w:t>5</w:t>
            </w:r>
          </w:p>
        </w:tc>
        <w:tc>
          <w:tcPr>
            <w:tcW w:w="581" w:type="dxa"/>
          </w:tcPr>
          <w:p w14:paraId="1CB79F52">
            <w:pPr>
              <w:pStyle w:val="4"/>
              <w:jc w:val="center"/>
            </w:pPr>
            <w:r>
              <w:rPr>
                <w:rFonts w:ascii="仿宋_GB2312" w:hAnsi="仿宋_GB2312" w:eastAsia="仿宋_GB2312" w:cs="仿宋_GB2312"/>
              </w:rPr>
              <w:t>★</w:t>
            </w:r>
          </w:p>
        </w:tc>
        <w:tc>
          <w:tcPr>
            <w:tcW w:w="1495" w:type="dxa"/>
          </w:tcPr>
          <w:p w14:paraId="29206021">
            <w:pPr>
              <w:pStyle w:val="4"/>
              <w:jc w:val="left"/>
            </w:pPr>
            <w:r>
              <w:rPr>
                <w:rFonts w:ascii="仿宋_GB2312" w:hAnsi="仿宋_GB2312" w:eastAsia="仿宋_GB2312" w:cs="仿宋_GB2312"/>
              </w:rPr>
              <w:t>验收、交付标准和方法</w:t>
            </w:r>
          </w:p>
        </w:tc>
        <w:tc>
          <w:tcPr>
            <w:tcW w:w="5814" w:type="dxa"/>
          </w:tcPr>
          <w:p w14:paraId="14EE7759">
            <w:pPr>
              <w:pStyle w:val="4"/>
              <w:jc w:val="left"/>
            </w:pPr>
            <w:r>
              <w:rPr>
                <w:rFonts w:ascii="仿宋_GB2312" w:hAnsi="仿宋_GB2312" w:eastAsia="仿宋_GB2312" w:cs="仿宋_GB2312"/>
              </w:rPr>
              <w:t>严格按照《财政部关于进一步加强政府采购需求和履约验收管理的指导意见》（财库〔2016〕205号）和《政府采购需求管理办法》财库〔2021〕22号）的要求，以及国家、行业标准进行验收。</w:t>
            </w:r>
          </w:p>
        </w:tc>
      </w:tr>
      <w:tr w14:paraId="2A4CE03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75FE543">
            <w:pPr>
              <w:pStyle w:val="4"/>
              <w:jc w:val="center"/>
            </w:pPr>
            <w:r>
              <w:rPr>
                <w:rFonts w:ascii="仿宋_GB2312" w:hAnsi="仿宋_GB2312" w:eastAsia="仿宋_GB2312" w:cs="仿宋_GB2312"/>
              </w:rPr>
              <w:t>6</w:t>
            </w:r>
          </w:p>
        </w:tc>
        <w:tc>
          <w:tcPr>
            <w:tcW w:w="581" w:type="dxa"/>
          </w:tcPr>
          <w:p w14:paraId="51B889A3">
            <w:pPr>
              <w:pStyle w:val="4"/>
              <w:jc w:val="center"/>
            </w:pPr>
            <w:r>
              <w:rPr>
                <w:rFonts w:ascii="仿宋_GB2312" w:hAnsi="仿宋_GB2312" w:eastAsia="仿宋_GB2312" w:cs="仿宋_GB2312"/>
              </w:rPr>
              <w:t>★</w:t>
            </w:r>
          </w:p>
        </w:tc>
        <w:tc>
          <w:tcPr>
            <w:tcW w:w="1495" w:type="dxa"/>
          </w:tcPr>
          <w:p w14:paraId="04637E1F">
            <w:pPr>
              <w:pStyle w:val="4"/>
              <w:jc w:val="left"/>
            </w:pPr>
            <w:r>
              <w:rPr>
                <w:rFonts w:ascii="仿宋_GB2312" w:hAnsi="仿宋_GB2312" w:eastAsia="仿宋_GB2312" w:cs="仿宋_GB2312"/>
              </w:rPr>
              <w:t>质量保修范围和保修期</w:t>
            </w:r>
          </w:p>
        </w:tc>
        <w:tc>
          <w:tcPr>
            <w:tcW w:w="5814" w:type="dxa"/>
          </w:tcPr>
          <w:p w14:paraId="75461C21">
            <w:pPr>
              <w:pStyle w:val="4"/>
              <w:jc w:val="left"/>
            </w:pPr>
            <w:r>
              <w:rPr>
                <w:rFonts w:ascii="仿宋_GB2312" w:hAnsi="仿宋_GB2312" w:eastAsia="仿宋_GB2312" w:cs="仿宋_GB2312"/>
              </w:rPr>
              <w:t>质保期：自验收合格之日起，质保期为3 年；质保期内，成交供应商对产品质量问题提供保修和上门维修服务，提供质量保修服务，并对设计、工艺或材料等缺陷造成的任何不足或故障负责。</w:t>
            </w:r>
          </w:p>
        </w:tc>
      </w:tr>
      <w:tr w14:paraId="495DDF8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332A4AD">
            <w:pPr>
              <w:pStyle w:val="4"/>
              <w:jc w:val="center"/>
            </w:pPr>
            <w:r>
              <w:rPr>
                <w:rFonts w:ascii="仿宋_GB2312" w:hAnsi="仿宋_GB2312" w:eastAsia="仿宋_GB2312" w:cs="仿宋_GB2312"/>
              </w:rPr>
              <w:t>7</w:t>
            </w:r>
          </w:p>
        </w:tc>
        <w:tc>
          <w:tcPr>
            <w:tcW w:w="581" w:type="dxa"/>
          </w:tcPr>
          <w:p w14:paraId="4188A749">
            <w:pPr>
              <w:pStyle w:val="4"/>
              <w:jc w:val="center"/>
            </w:pPr>
            <w:r>
              <w:rPr>
                <w:rFonts w:ascii="仿宋_GB2312" w:hAnsi="仿宋_GB2312" w:eastAsia="仿宋_GB2312" w:cs="仿宋_GB2312"/>
              </w:rPr>
              <w:t>★</w:t>
            </w:r>
          </w:p>
        </w:tc>
        <w:tc>
          <w:tcPr>
            <w:tcW w:w="1495" w:type="dxa"/>
          </w:tcPr>
          <w:p w14:paraId="70B9EF8C">
            <w:pPr>
              <w:pStyle w:val="4"/>
              <w:jc w:val="left"/>
            </w:pPr>
            <w:r>
              <w:rPr>
                <w:rFonts w:ascii="仿宋_GB2312" w:hAnsi="仿宋_GB2312" w:eastAsia="仿宋_GB2312" w:cs="仿宋_GB2312"/>
              </w:rPr>
              <w:t>违约责任与解决争议的方法</w:t>
            </w:r>
          </w:p>
        </w:tc>
        <w:tc>
          <w:tcPr>
            <w:tcW w:w="5814" w:type="dxa"/>
          </w:tcPr>
          <w:p w14:paraId="7A805A67">
            <w:pPr>
              <w:pStyle w:val="4"/>
              <w:jc w:val="left"/>
            </w:pPr>
            <w:r>
              <w:rPr>
                <w:rFonts w:ascii="仿宋_GB2312" w:hAnsi="仿宋_GB2312" w:eastAsia="仿宋_GB2312" w:cs="仿宋_GB2312"/>
              </w:rPr>
              <w:t>1、采购人违约责任：（1）采购人无正当理由拒收投标产品的，采购人应偿付合同总价百分之十的违约金；（2）采购人逾期支付货款的，除应及时付足货款外，应向中标人偿付欠款总额万分之一/天的违约金；逾期付款超过30天的，中标人有权终止合同；（3） 采购人偿付的违约金不足以弥补中标人损失的，还应按中标人损失尚未弥补的部分，支付赔偿金给中标人。 2、中标人违约责任：（1）中标人交付的投标产品质量不符合合同规定的，中标人应向采购人支付合同总价的百分之十的违约金，并须在合同规定的交货时间内更换合格的投标产品给采购人，否则，视作中标人不能交付投标产品而违约，按本条本款下述第“（2）”项规定由中标人偿付违约赔偿金给采购人。（2）中标人不能交付投标产品或逾期交付投标产品而违约的，除应及时交足投标产品外，应向采购人偿付逾期交货部分货款总额的万分之一/天的违约金；逾期交货超过30天，采购人有权终止合同，中标人则应按合同总价的百分之十的款额向采购人偿付赔偿金，并须全额退还采购人已经付给中标人的货款及其利息。（3）产品经采购人送交具有法定资格条件的质量技术监督机构检测后，如检测结果认定投标产品质量不符合本合同规定标准的，则视为中标人没有按时和按质交货而违约，中标人须在30天内无条件更换合格的投标产品，如逾期不能更换合格的投标产品，采购人有权终止本合同，中标人应另付合同总价的百分之十的赔偿金给采购人。（4）中标人保证本合同投标产品的权利无瑕疵，包括投标产品所有权及知识产权等权利无瑕疵。如任何第三方经法院（或仲裁机构）裁决有权对上述投标产品主张权利或国家机关依法对投标产品进行没收查处的，中标人除应向采购人返还已收款项外，还应另按合同总价的百分之五向采购人支付违约金。（5）中标人不履行或迟延履行售后维保义务的，每发生一次，应向采购人支付合同总价款百分之一的违约金，且采购人有权委托第三方维保，由此发生的维保费用由中标人承担。（6）中标人偿付的违约金不足以弥补采购人损失的，还应按采购人损失尚未弥补的部分，支付赔偿金给采购人。 3、争议解决办法 ：（1）因产品的质量问题发生争议，由中标人5日内委托采购人所在地质量技术监督部门或其指定的质量鉴定机构进行质量鉴定。投标产品符合标准的，鉴定费由采购人承担；投标产品不符合质量标准的，鉴定费由中标人承担。（2）合同履行期间,若采购人与中标人发生争议，可协商或由有关部门调解解决，协商或调解不成的，由当事人依法向采购人住所地人民法院提起诉讼以维护其合法权益。</w:t>
            </w:r>
          </w:p>
        </w:tc>
      </w:tr>
      <w:tr w14:paraId="146882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B9BE89C">
            <w:pPr>
              <w:pStyle w:val="4"/>
              <w:jc w:val="center"/>
            </w:pPr>
            <w:r>
              <w:rPr>
                <w:rFonts w:ascii="仿宋_GB2312" w:hAnsi="仿宋_GB2312" w:eastAsia="仿宋_GB2312" w:cs="仿宋_GB2312"/>
              </w:rPr>
              <w:t>8</w:t>
            </w:r>
          </w:p>
        </w:tc>
        <w:tc>
          <w:tcPr>
            <w:tcW w:w="581" w:type="dxa"/>
          </w:tcPr>
          <w:p w14:paraId="09E5C7E4">
            <w:pPr>
              <w:pStyle w:val="4"/>
              <w:jc w:val="center"/>
            </w:pPr>
            <w:r>
              <w:rPr>
                <w:rFonts w:ascii="仿宋_GB2312" w:hAnsi="仿宋_GB2312" w:eastAsia="仿宋_GB2312" w:cs="仿宋_GB2312"/>
              </w:rPr>
              <w:t>★</w:t>
            </w:r>
          </w:p>
        </w:tc>
        <w:tc>
          <w:tcPr>
            <w:tcW w:w="1495" w:type="dxa"/>
          </w:tcPr>
          <w:p w14:paraId="7470BD1F">
            <w:pPr>
              <w:pStyle w:val="4"/>
              <w:jc w:val="left"/>
            </w:pPr>
            <w:r>
              <w:rPr>
                <w:rFonts w:ascii="仿宋_GB2312" w:hAnsi="仿宋_GB2312" w:eastAsia="仿宋_GB2312" w:cs="仿宋_GB2312"/>
              </w:rPr>
              <w:t>包装方式及运输</w:t>
            </w:r>
          </w:p>
        </w:tc>
        <w:tc>
          <w:tcPr>
            <w:tcW w:w="5814" w:type="dxa"/>
          </w:tcPr>
          <w:p w14:paraId="1E6F1E40">
            <w:pPr>
              <w:pStyle w:val="4"/>
              <w:jc w:val="left"/>
            </w:pPr>
            <w:r>
              <w:rPr>
                <w:rFonts w:ascii="仿宋_GB2312" w:hAnsi="仿宋_GB2312" w:eastAsia="仿宋_GB2312" w:cs="仿宋_GB2312"/>
              </w:rPr>
              <w:t>涉及的商品包装和快递包装，均应符合《商品包装政府采购需求标准（试行）》《快递包装政府采购需求标准（试行）》的要求，包装应适应于远距离运输、防潮、防震、防锈和防野蛮装卸，以确保货物安全无损运抵指定地点。</w:t>
            </w:r>
          </w:p>
        </w:tc>
      </w:tr>
    </w:tbl>
    <w:p w14:paraId="000AEC7D">
      <w:pPr>
        <w:pStyle w:val="4"/>
        <w:jc w:val="left"/>
        <w:outlineLvl w:val="2"/>
      </w:pPr>
      <w:r>
        <w:rPr>
          <w:rFonts w:ascii="仿宋_GB2312" w:hAnsi="仿宋_GB2312" w:eastAsia="仿宋_GB2312" w:cs="仿宋_GB2312"/>
          <w:b/>
          <w:sz w:val="28"/>
        </w:rPr>
        <w:t>3.4.其他要求</w:t>
      </w:r>
    </w:p>
    <w:p w14:paraId="0C75A48E">
      <w:pPr>
        <w:pStyle w:val="4"/>
        <w:ind w:firstLine="480"/>
        <w:jc w:val="left"/>
      </w:pPr>
      <w:r>
        <w:rPr>
          <w:rFonts w:ascii="仿宋_GB2312" w:hAnsi="仿宋_GB2312" w:eastAsia="仿宋_GB2312" w:cs="仿宋_GB2312"/>
        </w:rPr>
        <w:t>采购包1：</w:t>
      </w:r>
    </w:p>
    <w:p w14:paraId="4B25D585">
      <w:pPr>
        <w:pStyle w:val="4"/>
        <w:jc w:val="left"/>
      </w:pPr>
      <w:r>
        <w:rPr>
          <w:rFonts w:ascii="仿宋_GB2312" w:hAnsi="仿宋_GB2312" w:eastAsia="仿宋_GB2312" w:cs="仿宋_GB2312"/>
        </w:rPr>
        <w:t>无</w:t>
      </w:r>
    </w:p>
    <w:p w14:paraId="1676DADB">
      <w:pPr>
        <w:pStyle w:val="4"/>
        <w:rPr>
          <w:rFonts w:hint="eastAsia"/>
          <w:lang w:val="en-US" w:eastAsia="zh-Hans"/>
        </w:rPr>
      </w:pPr>
      <w:r>
        <w:rPr>
          <w:rFonts w:ascii="仿宋_GB2312" w:hAnsi="仿宋_GB2312" w:eastAsia="仿宋_GB2312" w:cs="仿宋_GB2312"/>
        </w:rPr>
        <w:t xml:space="preserve"> </w:t>
      </w:r>
      <w:r>
        <w:rPr>
          <w:rFonts w:ascii="仿宋_GB2312" w:hAnsi="仿宋_GB2312" w:eastAsia="仿宋_GB2312" w:cs="仿宋_GB2312"/>
        </w:rPr>
        <w:br w:type="textWrapping"/>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B52B8D"/>
    <w:rsid w:val="177F50ED"/>
    <w:rsid w:val="45127050"/>
    <w:rsid w:val="53B52B8D"/>
    <w:rsid w:val="77F79321"/>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11923</Words>
  <Characters>12529</Characters>
  <Lines>0</Lines>
  <Paragraphs>0</Paragraphs>
  <TotalTime>1</TotalTime>
  <ScaleCrop>false</ScaleCrop>
  <LinksUpToDate>false</LinksUpToDate>
  <CharactersWithSpaces>12610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WPS_1536458909</cp:lastModifiedBy>
  <dcterms:modified xsi:type="dcterms:W3CDTF">2025-04-11T03:45:53Z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eyJoZGlkIjoiMGNlMDg5ZTM1MjNmOGM1ZmRiNTRmNGE0YmMwMWMxMmIiLCJ1c2VySWQiOiI0MDMxNzEzMzYifQ==</vt:lpwstr>
  </property>
  <property fmtid="{D5CDD505-2E9C-101B-9397-08002B2CF9AE}" pid="4" name="ICV">
    <vt:lpwstr>721F2B49119A445497550B775CB5CCFD_12</vt:lpwstr>
  </property>
</Properties>
</file>