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jc w:val="center"/>
        <w:outlineLvl w:val="1"/>
      </w:pPr>
      <w:r>
        <w:rPr>
          <w:rFonts w:ascii="仿宋_GB2312" w:hAnsi="仿宋_GB2312" w:eastAsia="仿宋_GB2312" w:cs="仿宋_GB2312"/>
          <w:b/>
          <w:sz w:val="36"/>
        </w:rPr>
        <w:t>技术、服务及其他要求</w:t>
      </w:r>
    </w:p>
    <w:p>
      <w:pPr>
        <w:pStyle w:val="4"/>
        <w:ind w:firstLine="480"/>
        <w:jc w:val="left"/>
      </w:pPr>
      <w:r>
        <w:rPr>
          <w:rFonts w:ascii="仿宋_GB2312" w:hAnsi="仿宋_GB2312" w:eastAsia="仿宋_GB2312" w:cs="仿宋_GB2312"/>
        </w:rPr>
        <w:t>（注：本章的技术、服务及其他要求中，带“★”的要求为实质性要求。采购人、代理机构应当根据项目实际要求合理设定，并在第五章符合性审查中明确响应要求。）</w:t>
      </w:r>
    </w:p>
    <w:p>
      <w:pPr>
        <w:pStyle w:val="4"/>
        <w:jc w:val="left"/>
        <w:outlineLvl w:val="2"/>
      </w:pPr>
      <w:r>
        <w:rPr>
          <w:rFonts w:ascii="仿宋_GB2312" w:hAnsi="仿宋_GB2312" w:eastAsia="仿宋_GB2312" w:cs="仿宋_GB2312"/>
          <w:b/>
          <w:sz w:val="28"/>
        </w:rPr>
        <w:t>3.1.采购内容</w:t>
      </w:r>
    </w:p>
    <w:p>
      <w:pPr>
        <w:pStyle w:val="4"/>
        <w:jc w:val="left"/>
      </w:pPr>
      <w:r>
        <w:rPr>
          <w:rFonts w:ascii="仿宋_GB2312" w:hAnsi="仿宋_GB2312" w:eastAsia="仿宋_GB2312" w:cs="仿宋_GB2312"/>
        </w:rPr>
        <w:t>采购包1：</w:t>
      </w:r>
    </w:p>
    <w:p>
      <w:pPr>
        <w:pStyle w:val="4"/>
        <w:jc w:val="left"/>
      </w:pPr>
      <w:r>
        <w:rPr>
          <w:rFonts w:ascii="仿宋_GB2312" w:hAnsi="仿宋_GB2312" w:eastAsia="仿宋_GB2312" w:cs="仿宋_GB2312"/>
        </w:rPr>
        <w:t>采购包预算金额（元）: 1,576,957.94</w:t>
      </w:r>
    </w:p>
    <w:p>
      <w:pPr>
        <w:pStyle w:val="4"/>
        <w:jc w:val="left"/>
      </w:pPr>
      <w:r>
        <w:rPr>
          <w:rFonts w:ascii="仿宋_GB2312" w:hAnsi="仿宋_GB2312" w:eastAsia="仿宋_GB2312" w:cs="仿宋_GB2312"/>
        </w:rPr>
        <w:t>采购包最高限价（元）: 1,576,957.94</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45"/>
        <w:gridCol w:w="1116"/>
        <w:gridCol w:w="713"/>
        <w:gridCol w:w="820"/>
        <w:gridCol w:w="1416"/>
        <w:gridCol w:w="713"/>
        <w:gridCol w:w="713"/>
        <w:gridCol w:w="713"/>
        <w:gridCol w:w="713"/>
        <w:gridCol w:w="580"/>
        <w:gridCol w:w="580"/>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56" w:type="dxa"/>
          </w:tcPr>
          <w:p>
            <w:pPr>
              <w:pStyle w:val="4"/>
              <w:jc w:val="center"/>
            </w:pPr>
            <w:r>
              <w:rPr>
                <w:rFonts w:ascii="仿宋_GB2312" w:hAnsi="仿宋_GB2312" w:eastAsia="仿宋_GB2312" w:cs="仿宋_GB2312"/>
              </w:rPr>
              <w:t>序号</w:t>
            </w:r>
          </w:p>
        </w:tc>
        <w:tc>
          <w:tcPr>
            <w:tcW w:w="821" w:type="dxa"/>
          </w:tcPr>
          <w:p>
            <w:pPr>
              <w:pStyle w:val="4"/>
              <w:jc w:val="center"/>
            </w:pPr>
            <w:r>
              <w:rPr>
                <w:rFonts w:ascii="仿宋_GB2312" w:hAnsi="仿宋_GB2312" w:eastAsia="仿宋_GB2312" w:cs="仿宋_GB2312"/>
              </w:rPr>
              <w:t>采购品目名称</w:t>
            </w:r>
          </w:p>
        </w:tc>
        <w:tc>
          <w:tcPr>
            <w:tcW w:w="821" w:type="dxa"/>
          </w:tcPr>
          <w:p>
            <w:pPr>
              <w:pStyle w:val="4"/>
              <w:jc w:val="center"/>
            </w:pPr>
            <w:r>
              <w:rPr>
                <w:rFonts w:ascii="仿宋_GB2312" w:hAnsi="仿宋_GB2312" w:eastAsia="仿宋_GB2312" w:cs="仿宋_GB2312"/>
              </w:rPr>
              <w:t>标的名称</w:t>
            </w:r>
          </w:p>
        </w:tc>
        <w:tc>
          <w:tcPr>
            <w:tcW w:w="821" w:type="dxa"/>
          </w:tcPr>
          <w:p>
            <w:pPr>
              <w:pStyle w:val="4"/>
              <w:jc w:val="center"/>
            </w:pPr>
            <w:r>
              <w:rPr>
                <w:rFonts w:ascii="仿宋_GB2312" w:hAnsi="仿宋_GB2312" w:eastAsia="仿宋_GB2312" w:cs="仿宋_GB2312"/>
              </w:rPr>
              <w:t>数量</w:t>
            </w:r>
            <w:r>
              <w:br w:type="textWrapping"/>
            </w:r>
            <w:r>
              <w:rPr>
                <w:rFonts w:ascii="仿宋_GB2312" w:hAnsi="仿宋_GB2312" w:eastAsia="仿宋_GB2312" w:cs="仿宋_GB2312"/>
              </w:rPr>
              <w:t>(计量单位)</w:t>
            </w:r>
          </w:p>
        </w:tc>
        <w:tc>
          <w:tcPr>
            <w:tcW w:w="821" w:type="dxa"/>
          </w:tcPr>
          <w:p>
            <w:pPr>
              <w:pStyle w:val="4"/>
              <w:jc w:val="center"/>
            </w:pPr>
            <w:r>
              <w:rPr>
                <w:rFonts w:ascii="仿宋_GB2312" w:hAnsi="仿宋_GB2312" w:eastAsia="仿宋_GB2312" w:cs="仿宋_GB2312"/>
              </w:rPr>
              <w:t>标的金额 （元）</w:t>
            </w:r>
          </w:p>
        </w:tc>
        <w:tc>
          <w:tcPr>
            <w:tcW w:w="821" w:type="dxa"/>
          </w:tcPr>
          <w:p>
            <w:pPr>
              <w:pStyle w:val="4"/>
              <w:jc w:val="center"/>
            </w:pPr>
            <w:r>
              <w:rPr>
                <w:rFonts w:ascii="仿宋_GB2312" w:hAnsi="仿宋_GB2312" w:eastAsia="仿宋_GB2312" w:cs="仿宋_GB2312"/>
              </w:rPr>
              <w:t>所属行业</w:t>
            </w:r>
          </w:p>
        </w:tc>
        <w:tc>
          <w:tcPr>
            <w:tcW w:w="821" w:type="dxa"/>
          </w:tcPr>
          <w:p>
            <w:pPr>
              <w:pStyle w:val="4"/>
              <w:jc w:val="center"/>
            </w:pPr>
            <w:r>
              <w:rPr>
                <w:rFonts w:ascii="仿宋_GB2312" w:hAnsi="仿宋_GB2312" w:eastAsia="仿宋_GB2312" w:cs="仿宋_GB2312"/>
              </w:rPr>
              <w:t>是否涉及核心产品</w:t>
            </w:r>
          </w:p>
        </w:tc>
        <w:tc>
          <w:tcPr>
            <w:tcW w:w="821" w:type="dxa"/>
          </w:tcPr>
          <w:p>
            <w:pPr>
              <w:pStyle w:val="4"/>
              <w:jc w:val="center"/>
            </w:pPr>
            <w:r>
              <w:rPr>
                <w:rFonts w:ascii="仿宋_GB2312" w:hAnsi="仿宋_GB2312" w:eastAsia="仿宋_GB2312" w:cs="仿宋_GB2312"/>
              </w:rPr>
              <w:t>是否涉及采购进口产品</w:t>
            </w:r>
          </w:p>
        </w:tc>
        <w:tc>
          <w:tcPr>
            <w:tcW w:w="821" w:type="dxa"/>
          </w:tcPr>
          <w:p>
            <w:pPr>
              <w:pStyle w:val="4"/>
              <w:jc w:val="center"/>
            </w:pPr>
            <w:r>
              <w:rPr>
                <w:rFonts w:ascii="仿宋_GB2312" w:hAnsi="仿宋_GB2312" w:eastAsia="仿宋_GB2312" w:cs="仿宋_GB2312"/>
              </w:rPr>
              <w:t>是否涉及强制采购节能产品</w:t>
            </w:r>
          </w:p>
        </w:tc>
        <w:tc>
          <w:tcPr>
            <w:tcW w:w="639" w:type="dxa"/>
          </w:tcPr>
          <w:p>
            <w:pPr>
              <w:pStyle w:val="4"/>
              <w:jc w:val="center"/>
            </w:pPr>
            <w:r>
              <w:rPr>
                <w:rFonts w:ascii="仿宋_GB2312" w:hAnsi="仿宋_GB2312" w:eastAsia="仿宋_GB2312" w:cs="仿宋_GB2312"/>
              </w:rPr>
              <w:t>是否涉及优先采购节能产品</w:t>
            </w:r>
          </w:p>
        </w:tc>
        <w:tc>
          <w:tcPr>
            <w:tcW w:w="639" w:type="dxa"/>
          </w:tcPr>
          <w:p>
            <w:pPr>
              <w:pStyle w:val="4"/>
              <w:jc w:val="center"/>
            </w:pPr>
            <w:r>
              <w:rPr>
                <w:rFonts w:ascii="仿宋_GB2312" w:hAnsi="仿宋_GB2312" w:eastAsia="仿宋_GB2312" w:cs="仿宋_GB2312"/>
              </w:rPr>
              <w:t>是否涉及优先采购环境标志产品</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56" w:type="dxa"/>
          </w:tcPr>
          <w:p>
            <w:pPr>
              <w:pStyle w:val="4"/>
              <w:jc w:val="left"/>
            </w:pPr>
            <w:r>
              <w:rPr>
                <w:rFonts w:ascii="仿宋_GB2312" w:hAnsi="仿宋_GB2312" w:eastAsia="仿宋_GB2312" w:cs="仿宋_GB2312"/>
              </w:rPr>
              <w:t>1</w:t>
            </w:r>
          </w:p>
        </w:tc>
        <w:tc>
          <w:tcPr>
            <w:tcW w:w="821" w:type="dxa"/>
          </w:tcPr>
          <w:p>
            <w:pPr>
              <w:pStyle w:val="4"/>
              <w:jc w:val="left"/>
            </w:pPr>
            <w:r>
              <w:rPr>
                <w:rFonts w:ascii="仿宋_GB2312" w:hAnsi="仿宋_GB2312" w:eastAsia="仿宋_GB2312" w:cs="仿宋_GB2312"/>
              </w:rPr>
              <w:t>C21040000 物业管理服务</w:t>
            </w:r>
          </w:p>
        </w:tc>
        <w:tc>
          <w:tcPr>
            <w:tcW w:w="821" w:type="dxa"/>
          </w:tcPr>
          <w:p>
            <w:pPr>
              <w:pStyle w:val="4"/>
              <w:jc w:val="left"/>
            </w:pPr>
            <w:r>
              <w:rPr>
                <w:rFonts w:ascii="仿宋_GB2312" w:hAnsi="仿宋_GB2312" w:eastAsia="仿宋_GB2312" w:cs="仿宋_GB2312"/>
              </w:rPr>
              <w:t>八一聚源高级中学物业管理服务</w:t>
            </w:r>
          </w:p>
        </w:tc>
        <w:tc>
          <w:tcPr>
            <w:tcW w:w="821" w:type="dxa"/>
          </w:tcPr>
          <w:p>
            <w:pPr>
              <w:pStyle w:val="4"/>
              <w:jc w:val="right"/>
            </w:pPr>
            <w:r>
              <w:rPr>
                <w:rFonts w:ascii="仿宋_GB2312" w:hAnsi="仿宋_GB2312" w:eastAsia="仿宋_GB2312" w:cs="仿宋_GB2312"/>
              </w:rPr>
              <w:t>1.00（项）</w:t>
            </w:r>
          </w:p>
        </w:tc>
        <w:tc>
          <w:tcPr>
            <w:tcW w:w="821" w:type="dxa"/>
          </w:tcPr>
          <w:p>
            <w:pPr>
              <w:pStyle w:val="4"/>
              <w:jc w:val="right"/>
            </w:pPr>
            <w:r>
              <w:rPr>
                <w:rFonts w:ascii="仿宋_GB2312" w:hAnsi="仿宋_GB2312" w:eastAsia="仿宋_GB2312" w:cs="仿宋_GB2312"/>
              </w:rPr>
              <w:t>1,576,957.94</w:t>
            </w:r>
          </w:p>
        </w:tc>
        <w:tc>
          <w:tcPr>
            <w:tcW w:w="821" w:type="dxa"/>
          </w:tcPr>
          <w:p>
            <w:pPr>
              <w:pStyle w:val="4"/>
              <w:jc w:val="left"/>
            </w:pPr>
            <w:r>
              <w:rPr>
                <w:rFonts w:ascii="仿宋_GB2312" w:hAnsi="仿宋_GB2312" w:eastAsia="仿宋_GB2312" w:cs="仿宋_GB2312"/>
              </w:rPr>
              <w:t>物业管理</w:t>
            </w:r>
          </w:p>
        </w:tc>
        <w:tc>
          <w:tcPr>
            <w:tcW w:w="821" w:type="dxa"/>
          </w:tcPr>
          <w:p>
            <w:pPr>
              <w:pStyle w:val="4"/>
              <w:jc w:val="left"/>
            </w:pPr>
            <w:r>
              <w:rPr>
                <w:rFonts w:ascii="仿宋_GB2312" w:hAnsi="仿宋_GB2312" w:eastAsia="仿宋_GB2312" w:cs="仿宋_GB2312"/>
              </w:rPr>
              <w:t>否</w:t>
            </w:r>
          </w:p>
        </w:tc>
        <w:tc>
          <w:tcPr>
            <w:tcW w:w="821" w:type="dxa"/>
          </w:tcPr>
          <w:p>
            <w:pPr>
              <w:pStyle w:val="4"/>
              <w:jc w:val="left"/>
            </w:pPr>
            <w:r>
              <w:rPr>
                <w:rFonts w:ascii="仿宋_GB2312" w:hAnsi="仿宋_GB2312" w:eastAsia="仿宋_GB2312" w:cs="仿宋_GB2312"/>
              </w:rPr>
              <w:t>否</w:t>
            </w:r>
          </w:p>
        </w:tc>
        <w:tc>
          <w:tcPr>
            <w:tcW w:w="821" w:type="dxa"/>
          </w:tcPr>
          <w:p>
            <w:pPr>
              <w:pStyle w:val="4"/>
              <w:jc w:val="left"/>
            </w:pPr>
            <w:r>
              <w:rPr>
                <w:rFonts w:ascii="仿宋_GB2312" w:hAnsi="仿宋_GB2312" w:eastAsia="仿宋_GB2312" w:cs="仿宋_GB2312"/>
              </w:rPr>
              <w:t>否</w:t>
            </w:r>
          </w:p>
        </w:tc>
        <w:tc>
          <w:tcPr>
            <w:tcW w:w="639" w:type="dxa"/>
          </w:tcPr>
          <w:p>
            <w:pPr>
              <w:pStyle w:val="4"/>
              <w:jc w:val="left"/>
            </w:pPr>
            <w:r>
              <w:rPr>
                <w:rFonts w:ascii="仿宋_GB2312" w:hAnsi="仿宋_GB2312" w:eastAsia="仿宋_GB2312" w:cs="仿宋_GB2312"/>
              </w:rPr>
              <w:t>否</w:t>
            </w:r>
          </w:p>
        </w:tc>
        <w:tc>
          <w:tcPr>
            <w:tcW w:w="639" w:type="dxa"/>
          </w:tcPr>
          <w:p>
            <w:pPr>
              <w:pStyle w:val="4"/>
              <w:jc w:val="left"/>
            </w:pPr>
            <w:r>
              <w:rPr>
                <w:rFonts w:ascii="仿宋_GB2312" w:hAnsi="仿宋_GB2312" w:eastAsia="仿宋_GB2312" w:cs="仿宋_GB2312"/>
              </w:rPr>
              <w:t>否</w:t>
            </w:r>
          </w:p>
        </w:tc>
      </w:tr>
    </w:tbl>
    <w:p>
      <w:pPr>
        <w:pStyle w:val="4"/>
        <w:jc w:val="left"/>
        <w:outlineLvl w:val="3"/>
      </w:pPr>
      <w:r>
        <w:rPr>
          <w:rFonts w:ascii="仿宋_GB2312" w:hAnsi="仿宋_GB2312" w:eastAsia="仿宋_GB2312" w:cs="仿宋_GB2312"/>
          <w:b/>
          <w:sz w:val="24"/>
        </w:rPr>
        <w:t>报价要求</w:t>
      </w:r>
    </w:p>
    <w:p>
      <w:pPr>
        <w:pStyle w:val="4"/>
        <w:jc w:val="left"/>
      </w:pPr>
      <w:r>
        <w:rPr>
          <w:rFonts w:ascii="仿宋_GB2312" w:hAnsi="仿宋_GB2312" w:eastAsia="仿宋_GB2312" w:cs="仿宋_GB2312"/>
        </w:rPr>
        <w:t>采购包1：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024"/>
        <w:gridCol w:w="1707"/>
        <w:gridCol w:w="1138"/>
        <w:gridCol w:w="1416"/>
        <w:gridCol w:w="1138"/>
        <w:gridCol w:w="1934"/>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c>
          <w:tcPr>
            <w:tcW w:w="1024" w:type="dxa"/>
          </w:tcPr>
          <w:p>
            <w:pPr>
              <w:pStyle w:val="4"/>
              <w:jc w:val="center"/>
            </w:pPr>
            <w:r>
              <w:rPr>
                <w:rFonts w:ascii="仿宋_GB2312" w:hAnsi="仿宋_GB2312" w:eastAsia="仿宋_GB2312" w:cs="仿宋_GB2312"/>
              </w:rPr>
              <w:t>序号</w:t>
            </w:r>
          </w:p>
        </w:tc>
        <w:tc>
          <w:tcPr>
            <w:tcW w:w="1707" w:type="dxa"/>
          </w:tcPr>
          <w:p>
            <w:pPr>
              <w:pStyle w:val="4"/>
              <w:jc w:val="center"/>
            </w:pPr>
            <w:r>
              <w:rPr>
                <w:rFonts w:ascii="仿宋_GB2312" w:hAnsi="仿宋_GB2312" w:eastAsia="仿宋_GB2312" w:cs="仿宋_GB2312"/>
              </w:rPr>
              <w:t>报价内容</w:t>
            </w:r>
          </w:p>
        </w:tc>
        <w:tc>
          <w:tcPr>
            <w:tcW w:w="1138" w:type="dxa"/>
          </w:tcPr>
          <w:p>
            <w:pPr>
              <w:pStyle w:val="4"/>
              <w:jc w:val="center"/>
            </w:pPr>
            <w:r>
              <w:rPr>
                <w:rFonts w:ascii="仿宋_GB2312" w:hAnsi="仿宋_GB2312" w:eastAsia="仿宋_GB2312" w:cs="仿宋_GB2312"/>
              </w:rPr>
              <w:t>数量（计量单位）</w:t>
            </w:r>
          </w:p>
        </w:tc>
        <w:tc>
          <w:tcPr>
            <w:tcW w:w="1365" w:type="dxa"/>
          </w:tcPr>
          <w:p>
            <w:pPr>
              <w:pStyle w:val="4"/>
              <w:jc w:val="center"/>
            </w:pPr>
            <w:r>
              <w:rPr>
                <w:rFonts w:ascii="仿宋_GB2312" w:hAnsi="仿宋_GB2312" w:eastAsia="仿宋_GB2312" w:cs="仿宋_GB2312"/>
              </w:rPr>
              <w:t>最高限价</w:t>
            </w:r>
          </w:p>
        </w:tc>
        <w:tc>
          <w:tcPr>
            <w:tcW w:w="1138" w:type="dxa"/>
          </w:tcPr>
          <w:p>
            <w:pPr>
              <w:pStyle w:val="4"/>
              <w:jc w:val="center"/>
            </w:pPr>
            <w:r>
              <w:rPr>
                <w:rFonts w:ascii="仿宋_GB2312" w:hAnsi="仿宋_GB2312" w:eastAsia="仿宋_GB2312" w:cs="仿宋_GB2312"/>
              </w:rPr>
              <w:t>价款形式</w:t>
            </w:r>
          </w:p>
        </w:tc>
        <w:tc>
          <w:tcPr>
            <w:tcW w:w="1934" w:type="dxa"/>
          </w:tcPr>
          <w:p>
            <w:pPr>
              <w:pStyle w:val="4"/>
              <w:jc w:val="center"/>
            </w:pPr>
            <w:r>
              <w:rPr>
                <w:rFonts w:ascii="仿宋_GB2312" w:hAnsi="仿宋_GB2312" w:eastAsia="仿宋_GB2312" w:cs="仿宋_GB2312"/>
              </w:rPr>
              <w:t>报价说明</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c>
          <w:tcPr>
            <w:tcW w:w="1024" w:type="dxa"/>
          </w:tcPr>
          <w:p>
            <w:pPr>
              <w:pStyle w:val="4"/>
              <w:jc w:val="center"/>
            </w:pPr>
            <w:r>
              <w:rPr>
                <w:rFonts w:ascii="仿宋_GB2312" w:hAnsi="仿宋_GB2312" w:eastAsia="仿宋_GB2312" w:cs="仿宋_GB2312"/>
              </w:rPr>
              <w:t>1</w:t>
            </w:r>
          </w:p>
        </w:tc>
        <w:tc>
          <w:tcPr>
            <w:tcW w:w="1707" w:type="dxa"/>
          </w:tcPr>
          <w:p>
            <w:pPr>
              <w:pStyle w:val="4"/>
              <w:jc w:val="center"/>
            </w:pPr>
            <w:r>
              <w:rPr>
                <w:rFonts w:ascii="仿宋_GB2312" w:hAnsi="仿宋_GB2312" w:eastAsia="仿宋_GB2312" w:cs="仿宋_GB2312"/>
              </w:rPr>
              <w:t>八一聚源高级中学物业管理服务</w:t>
            </w:r>
          </w:p>
        </w:tc>
        <w:tc>
          <w:tcPr>
            <w:tcW w:w="1138" w:type="dxa"/>
          </w:tcPr>
          <w:p>
            <w:pPr>
              <w:pStyle w:val="4"/>
              <w:jc w:val="center"/>
            </w:pPr>
            <w:r>
              <w:rPr>
                <w:rFonts w:ascii="仿宋_GB2312" w:hAnsi="仿宋_GB2312" w:eastAsia="仿宋_GB2312" w:cs="仿宋_GB2312"/>
              </w:rPr>
              <w:t>1.00（项）</w:t>
            </w:r>
          </w:p>
        </w:tc>
        <w:tc>
          <w:tcPr>
            <w:tcW w:w="1365" w:type="dxa"/>
          </w:tcPr>
          <w:p>
            <w:pPr>
              <w:pStyle w:val="4"/>
              <w:jc w:val="center"/>
            </w:pPr>
            <w:r>
              <w:rPr>
                <w:rFonts w:ascii="仿宋_GB2312" w:hAnsi="仿宋_GB2312" w:eastAsia="仿宋_GB2312" w:cs="仿宋_GB2312"/>
              </w:rPr>
              <w:t>1,576,957.94</w:t>
            </w:r>
          </w:p>
        </w:tc>
        <w:tc>
          <w:tcPr>
            <w:tcW w:w="1138" w:type="dxa"/>
          </w:tcPr>
          <w:p>
            <w:pPr>
              <w:pStyle w:val="4"/>
              <w:jc w:val="center"/>
            </w:pPr>
            <w:r>
              <w:rPr>
                <w:rFonts w:ascii="仿宋_GB2312" w:hAnsi="仿宋_GB2312" w:eastAsia="仿宋_GB2312" w:cs="仿宋_GB2312"/>
              </w:rPr>
              <w:t>总价</w:t>
            </w:r>
          </w:p>
        </w:tc>
        <w:tc>
          <w:tcPr>
            <w:tcW w:w="1934" w:type="dxa"/>
          </w:tcPr>
          <w:p>
            <w:pPr>
              <w:pStyle w:val="4"/>
              <w:jc w:val="left"/>
            </w:pPr>
            <w:r>
              <w:rPr>
                <w:rFonts w:ascii="仿宋_GB2312" w:hAnsi="仿宋_GB2312" w:eastAsia="仿宋_GB2312" w:cs="仿宋_GB2312"/>
              </w:rPr>
              <w:t>无</w:t>
            </w:r>
          </w:p>
        </w:tc>
      </w:tr>
    </w:tbl>
    <w:p>
      <w:pPr>
        <w:pStyle w:val="4"/>
        <w:ind w:firstLine="480"/>
        <w:jc w:val="left"/>
      </w:pPr>
      <w:r>
        <w:rPr>
          <w:rFonts w:ascii="仿宋_GB2312" w:hAnsi="仿宋_GB2312" w:eastAsia="仿宋_GB2312" w:cs="仿宋_GB2312"/>
        </w:rPr>
        <w:t>★注：采购包涉及采购货物的，投标人响应产品应当明确品牌和规格型号并指向唯一产品，不能指向唯一产品的，应通过报价表唯一产品说明栏补充说明。</w:t>
      </w:r>
    </w:p>
    <w:p>
      <w:pPr>
        <w:pStyle w:val="4"/>
        <w:jc w:val="left"/>
      </w:pPr>
      <w:r>
        <w:rPr>
          <w:rFonts w:ascii="仿宋_GB2312" w:hAnsi="仿宋_GB2312" w:eastAsia="仿宋_GB2312" w:cs="仿宋_GB2312"/>
          <w:b/>
        </w:rPr>
        <w:t>本项目涉及核心产品：</w:t>
      </w:r>
    </w:p>
    <w:p>
      <w:pPr>
        <w:pStyle w:val="4"/>
        <w:jc w:val="left"/>
      </w:pPr>
      <w:r>
        <w:rPr>
          <w:rFonts w:ascii="仿宋_GB2312" w:hAnsi="仿宋_GB2312" w:eastAsia="仿宋_GB2312" w:cs="仿宋_GB2312"/>
        </w:rPr>
        <w:t>采购包1：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31"/>
        <w:gridCol w:w="2492"/>
        <w:gridCol w:w="2492"/>
        <w:gridCol w:w="2492"/>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c>
          <w:tcPr>
            <w:tcW w:w="831" w:type="dxa"/>
          </w:tcPr>
          <w:p>
            <w:pPr>
              <w:pStyle w:val="4"/>
              <w:jc w:val="center"/>
            </w:pPr>
            <w:r>
              <w:rPr>
                <w:rFonts w:ascii="仿宋_GB2312" w:hAnsi="仿宋_GB2312" w:eastAsia="仿宋_GB2312" w:cs="仿宋_GB2312"/>
              </w:rPr>
              <w:t>序号</w:t>
            </w:r>
          </w:p>
        </w:tc>
        <w:tc>
          <w:tcPr>
            <w:tcW w:w="2492" w:type="dxa"/>
          </w:tcPr>
          <w:p>
            <w:pPr>
              <w:pStyle w:val="4"/>
              <w:jc w:val="center"/>
            </w:pPr>
            <w:r>
              <w:rPr>
                <w:rFonts w:ascii="仿宋_GB2312" w:hAnsi="仿宋_GB2312" w:eastAsia="仿宋_GB2312" w:cs="仿宋_GB2312"/>
              </w:rPr>
              <w:t>采购品目名称</w:t>
            </w:r>
          </w:p>
        </w:tc>
        <w:tc>
          <w:tcPr>
            <w:tcW w:w="2492" w:type="dxa"/>
          </w:tcPr>
          <w:p>
            <w:pPr>
              <w:pStyle w:val="4"/>
              <w:jc w:val="center"/>
            </w:pPr>
            <w:r>
              <w:rPr>
                <w:rFonts w:ascii="仿宋_GB2312" w:hAnsi="仿宋_GB2312" w:eastAsia="仿宋_GB2312" w:cs="仿宋_GB2312"/>
              </w:rPr>
              <w:t>标的名称</w:t>
            </w:r>
          </w:p>
        </w:tc>
        <w:tc>
          <w:tcPr>
            <w:tcW w:w="2492" w:type="dxa"/>
          </w:tcPr>
          <w:p>
            <w:pPr>
              <w:pStyle w:val="4"/>
              <w:jc w:val="center"/>
            </w:pPr>
            <w:r>
              <w:rPr>
                <w:rFonts w:ascii="仿宋_GB2312" w:hAnsi="仿宋_GB2312" w:eastAsia="仿宋_GB2312" w:cs="仿宋_GB2312"/>
              </w:rPr>
              <w:t>产品名称</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c>
          <w:tcPr>
            <w:tcW w:w="8307" w:type="dxa"/>
            <w:gridSpan w:val="4"/>
          </w:tcPr>
          <w:p>
            <w:pPr>
              <w:pStyle w:val="4"/>
              <w:jc w:val="center"/>
            </w:pPr>
            <w:r>
              <w:rPr>
                <w:rFonts w:ascii="仿宋_GB2312" w:hAnsi="仿宋_GB2312" w:eastAsia="仿宋_GB2312" w:cs="仿宋_GB2312"/>
              </w:rPr>
              <w:t>不涉及</w:t>
            </w:r>
          </w:p>
        </w:tc>
      </w:tr>
    </w:tbl>
    <w:p>
      <w:pPr>
        <w:pStyle w:val="4"/>
        <w:ind w:firstLine="480"/>
        <w:jc w:val="left"/>
      </w:pPr>
      <w:r>
        <w:rPr>
          <w:rFonts w:ascii="仿宋_GB2312" w:hAnsi="仿宋_GB2312" w:eastAsia="仿宋_GB2312" w:cs="仿宋_GB2312"/>
        </w:rPr>
        <w:t>注：涉及核心产品的，具体评审规定见第五章。</w:t>
      </w:r>
    </w:p>
    <w:p>
      <w:pPr>
        <w:pStyle w:val="4"/>
        <w:jc w:val="left"/>
        <w:outlineLvl w:val="3"/>
      </w:pPr>
      <w:r>
        <w:rPr>
          <w:rFonts w:ascii="仿宋_GB2312" w:hAnsi="仿宋_GB2312" w:eastAsia="仿宋_GB2312" w:cs="仿宋_GB2312"/>
          <w:b/>
          <w:sz w:val="24"/>
        </w:rPr>
        <w:t>本项目涉及采购进口产品：</w:t>
      </w:r>
    </w:p>
    <w:p>
      <w:pPr>
        <w:pStyle w:val="4"/>
        <w:jc w:val="left"/>
      </w:pPr>
      <w:r>
        <w:rPr>
          <w:rFonts w:ascii="仿宋_GB2312" w:hAnsi="仿宋_GB2312" w:eastAsia="仿宋_GB2312" w:cs="仿宋_GB2312"/>
        </w:rPr>
        <w:t>采购包1：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31"/>
        <w:gridCol w:w="2492"/>
        <w:gridCol w:w="2492"/>
        <w:gridCol w:w="2492"/>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pPr>
              <w:pStyle w:val="4"/>
              <w:jc w:val="center"/>
            </w:pPr>
            <w:r>
              <w:rPr>
                <w:rFonts w:ascii="仿宋_GB2312" w:hAnsi="仿宋_GB2312" w:eastAsia="仿宋_GB2312" w:cs="仿宋_GB2312"/>
              </w:rPr>
              <w:t>序号</w:t>
            </w:r>
          </w:p>
        </w:tc>
        <w:tc>
          <w:tcPr>
            <w:tcW w:w="2492" w:type="dxa"/>
          </w:tcPr>
          <w:p>
            <w:pPr>
              <w:pStyle w:val="4"/>
              <w:jc w:val="center"/>
            </w:pPr>
            <w:r>
              <w:rPr>
                <w:rFonts w:ascii="仿宋_GB2312" w:hAnsi="仿宋_GB2312" w:eastAsia="仿宋_GB2312" w:cs="仿宋_GB2312"/>
              </w:rPr>
              <w:t>采购品目名称</w:t>
            </w:r>
          </w:p>
        </w:tc>
        <w:tc>
          <w:tcPr>
            <w:tcW w:w="2492" w:type="dxa"/>
          </w:tcPr>
          <w:p>
            <w:pPr>
              <w:pStyle w:val="4"/>
              <w:jc w:val="center"/>
            </w:pPr>
            <w:r>
              <w:rPr>
                <w:rFonts w:ascii="仿宋_GB2312" w:hAnsi="仿宋_GB2312" w:eastAsia="仿宋_GB2312" w:cs="仿宋_GB2312"/>
              </w:rPr>
              <w:t>标的名称</w:t>
            </w:r>
          </w:p>
        </w:tc>
        <w:tc>
          <w:tcPr>
            <w:tcW w:w="2492" w:type="dxa"/>
          </w:tcPr>
          <w:p>
            <w:pPr>
              <w:pStyle w:val="4"/>
              <w:jc w:val="center"/>
            </w:pPr>
            <w:r>
              <w:rPr>
                <w:rFonts w:ascii="仿宋_GB2312" w:hAnsi="仿宋_GB2312" w:eastAsia="仿宋_GB2312" w:cs="仿宋_GB2312"/>
              </w:rPr>
              <w:t>产品名称</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7" w:type="dxa"/>
            <w:gridSpan w:val="4"/>
          </w:tcPr>
          <w:p>
            <w:pPr>
              <w:pStyle w:val="4"/>
              <w:jc w:val="center"/>
            </w:pPr>
            <w:r>
              <w:rPr>
                <w:rFonts w:ascii="仿宋_GB2312" w:hAnsi="仿宋_GB2312" w:eastAsia="仿宋_GB2312" w:cs="仿宋_GB2312"/>
              </w:rPr>
              <w:t>不涉及</w:t>
            </w:r>
          </w:p>
        </w:tc>
      </w:tr>
    </w:tbl>
    <w:p>
      <w:pPr>
        <w:pStyle w:val="4"/>
        <w:ind w:firstLine="480"/>
        <w:jc w:val="left"/>
      </w:pPr>
      <w:r>
        <w:rPr>
          <w:rFonts w:ascii="仿宋_GB2312" w:hAnsi="仿宋_GB2312" w:eastAsia="仿宋_GB2312" w:cs="仿宋_GB2312"/>
        </w:rPr>
        <w:t>★注：不涉及采购进口产品时，投标人不得提供进口产品进行响应；涉及采购进口产品时，如国产产品满足采购需求，也可提供国产产品进行响应。</w:t>
      </w:r>
    </w:p>
    <w:p>
      <w:pPr>
        <w:pStyle w:val="4"/>
        <w:jc w:val="left"/>
        <w:outlineLvl w:val="3"/>
      </w:pPr>
      <w:r>
        <w:rPr>
          <w:rFonts w:ascii="仿宋_GB2312" w:hAnsi="仿宋_GB2312" w:eastAsia="仿宋_GB2312" w:cs="仿宋_GB2312"/>
          <w:b/>
          <w:sz w:val="24"/>
        </w:rPr>
        <w:t>本项目涉及强制采购节能产品：</w:t>
      </w:r>
    </w:p>
    <w:p>
      <w:pPr>
        <w:pStyle w:val="4"/>
        <w:jc w:val="left"/>
      </w:pPr>
      <w:r>
        <w:rPr>
          <w:rFonts w:ascii="仿宋_GB2312" w:hAnsi="仿宋_GB2312" w:eastAsia="仿宋_GB2312" w:cs="仿宋_GB2312"/>
        </w:rPr>
        <w:t>采购包1：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31"/>
        <w:gridCol w:w="2492"/>
        <w:gridCol w:w="2492"/>
        <w:gridCol w:w="2492"/>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pPr>
              <w:pStyle w:val="4"/>
              <w:jc w:val="center"/>
            </w:pPr>
            <w:r>
              <w:rPr>
                <w:rFonts w:ascii="仿宋_GB2312" w:hAnsi="仿宋_GB2312" w:eastAsia="仿宋_GB2312" w:cs="仿宋_GB2312"/>
              </w:rPr>
              <w:t>序号</w:t>
            </w:r>
          </w:p>
        </w:tc>
        <w:tc>
          <w:tcPr>
            <w:tcW w:w="2492" w:type="dxa"/>
          </w:tcPr>
          <w:p>
            <w:pPr>
              <w:pStyle w:val="4"/>
              <w:jc w:val="center"/>
            </w:pPr>
            <w:r>
              <w:rPr>
                <w:rFonts w:ascii="仿宋_GB2312" w:hAnsi="仿宋_GB2312" w:eastAsia="仿宋_GB2312" w:cs="仿宋_GB2312"/>
              </w:rPr>
              <w:t>采购品目名称</w:t>
            </w:r>
          </w:p>
        </w:tc>
        <w:tc>
          <w:tcPr>
            <w:tcW w:w="2492" w:type="dxa"/>
          </w:tcPr>
          <w:p>
            <w:pPr>
              <w:pStyle w:val="4"/>
              <w:jc w:val="center"/>
            </w:pPr>
            <w:r>
              <w:rPr>
                <w:rFonts w:ascii="仿宋_GB2312" w:hAnsi="仿宋_GB2312" w:eastAsia="仿宋_GB2312" w:cs="仿宋_GB2312"/>
              </w:rPr>
              <w:t>标的名称</w:t>
            </w:r>
          </w:p>
        </w:tc>
        <w:tc>
          <w:tcPr>
            <w:tcW w:w="2492" w:type="dxa"/>
          </w:tcPr>
          <w:p>
            <w:pPr>
              <w:pStyle w:val="4"/>
              <w:jc w:val="center"/>
            </w:pPr>
            <w:r>
              <w:rPr>
                <w:rFonts w:ascii="仿宋_GB2312" w:hAnsi="仿宋_GB2312" w:eastAsia="仿宋_GB2312" w:cs="仿宋_GB2312"/>
              </w:rPr>
              <w:t>产品名称</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7" w:type="dxa"/>
            <w:gridSpan w:val="4"/>
          </w:tcPr>
          <w:p>
            <w:pPr>
              <w:pStyle w:val="4"/>
              <w:jc w:val="center"/>
            </w:pPr>
            <w:r>
              <w:rPr>
                <w:rFonts w:ascii="仿宋_GB2312" w:hAnsi="仿宋_GB2312" w:eastAsia="仿宋_GB2312" w:cs="仿宋_GB2312"/>
              </w:rPr>
              <w:t>不涉及</w:t>
            </w:r>
          </w:p>
        </w:tc>
      </w:tr>
    </w:tbl>
    <w:p>
      <w:pPr>
        <w:pStyle w:val="4"/>
        <w:ind w:firstLine="480"/>
        <w:jc w:val="left"/>
      </w:pPr>
      <w:r>
        <w:rPr>
          <w:rFonts w:ascii="仿宋_GB2312" w:hAnsi="仿宋_GB2312" w:eastAsia="仿宋_GB2312" w:cs="仿宋_GB2312"/>
        </w:rPr>
        <w:t>★注：响应产品属于《节能产品政府采购品目清单》中政府强制采购的产品，投标人应当提供由国家确定的认证机构出具的、处于有效期之内的节能产品认证证书的原件扫描件或“全国认证认可信息公共服务平台”（http://cx.cnca.cn）的认证信息截图，否则作无效投标处理。具体要求详见第五章符合性审查表。</w:t>
      </w:r>
    </w:p>
    <w:p>
      <w:pPr>
        <w:pStyle w:val="4"/>
        <w:jc w:val="left"/>
      </w:pPr>
      <w:r>
        <w:rPr>
          <w:rFonts w:ascii="仿宋_GB2312" w:hAnsi="仿宋_GB2312" w:eastAsia="仿宋_GB2312" w:cs="仿宋_GB2312"/>
          <w:b/>
        </w:rPr>
        <w:t>本项目涉及优先采购节能产品：</w:t>
      </w:r>
    </w:p>
    <w:p>
      <w:pPr>
        <w:pStyle w:val="4"/>
        <w:jc w:val="left"/>
      </w:pPr>
      <w:r>
        <w:rPr>
          <w:rFonts w:ascii="仿宋_GB2312" w:hAnsi="仿宋_GB2312" w:eastAsia="仿宋_GB2312" w:cs="仿宋_GB2312"/>
        </w:rPr>
        <w:t>采购包1：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31"/>
        <w:gridCol w:w="2492"/>
        <w:gridCol w:w="2492"/>
        <w:gridCol w:w="2492"/>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pPr>
              <w:pStyle w:val="4"/>
              <w:jc w:val="center"/>
            </w:pPr>
            <w:r>
              <w:rPr>
                <w:rFonts w:ascii="仿宋_GB2312" w:hAnsi="仿宋_GB2312" w:eastAsia="仿宋_GB2312" w:cs="仿宋_GB2312"/>
              </w:rPr>
              <w:t>序号</w:t>
            </w:r>
          </w:p>
        </w:tc>
        <w:tc>
          <w:tcPr>
            <w:tcW w:w="2492" w:type="dxa"/>
          </w:tcPr>
          <w:p>
            <w:pPr>
              <w:pStyle w:val="4"/>
              <w:jc w:val="center"/>
            </w:pPr>
            <w:r>
              <w:rPr>
                <w:rFonts w:ascii="仿宋_GB2312" w:hAnsi="仿宋_GB2312" w:eastAsia="仿宋_GB2312" w:cs="仿宋_GB2312"/>
              </w:rPr>
              <w:t>采购品目名称</w:t>
            </w:r>
          </w:p>
        </w:tc>
        <w:tc>
          <w:tcPr>
            <w:tcW w:w="2492" w:type="dxa"/>
          </w:tcPr>
          <w:p>
            <w:pPr>
              <w:pStyle w:val="4"/>
              <w:jc w:val="center"/>
            </w:pPr>
            <w:r>
              <w:rPr>
                <w:rFonts w:ascii="仿宋_GB2312" w:hAnsi="仿宋_GB2312" w:eastAsia="仿宋_GB2312" w:cs="仿宋_GB2312"/>
              </w:rPr>
              <w:t>标的名称</w:t>
            </w:r>
          </w:p>
        </w:tc>
        <w:tc>
          <w:tcPr>
            <w:tcW w:w="2492" w:type="dxa"/>
          </w:tcPr>
          <w:p>
            <w:pPr>
              <w:pStyle w:val="4"/>
              <w:jc w:val="center"/>
            </w:pPr>
            <w:r>
              <w:rPr>
                <w:rFonts w:ascii="仿宋_GB2312" w:hAnsi="仿宋_GB2312" w:eastAsia="仿宋_GB2312" w:cs="仿宋_GB2312"/>
              </w:rPr>
              <w:t>产品名称</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7" w:type="dxa"/>
            <w:gridSpan w:val="4"/>
          </w:tcPr>
          <w:p>
            <w:pPr>
              <w:pStyle w:val="4"/>
              <w:jc w:val="center"/>
            </w:pPr>
            <w:r>
              <w:rPr>
                <w:rFonts w:ascii="仿宋_GB2312" w:hAnsi="仿宋_GB2312" w:eastAsia="仿宋_GB2312" w:cs="仿宋_GB2312"/>
              </w:rPr>
              <w:t>不涉及</w:t>
            </w:r>
          </w:p>
        </w:tc>
      </w:tr>
    </w:tbl>
    <w:p>
      <w:pPr>
        <w:pStyle w:val="4"/>
        <w:ind w:firstLine="480"/>
        <w:jc w:val="left"/>
      </w:pPr>
      <w:r>
        <w:rPr>
          <w:rFonts w:ascii="仿宋_GB2312" w:hAnsi="仿宋_GB2312" w:eastAsia="仿宋_GB2312" w:cs="仿宋_GB2312"/>
        </w:rPr>
        <w:t>注：响应产品属于《节能产品政府采购品目清单》中优先采购的产品，投标人提供由国家确定的认证机构出具的、处于有效期之内的节能产品认证证书的原件扫描件或“全国认证认可信息公共服务平台”（http://cx.cnca.cn）的认证信息截图，可以享受优先采购政策。具体要求详见第五章规定。</w:t>
      </w:r>
    </w:p>
    <w:p>
      <w:pPr>
        <w:pStyle w:val="4"/>
        <w:jc w:val="left"/>
        <w:outlineLvl w:val="3"/>
      </w:pPr>
      <w:r>
        <w:rPr>
          <w:rFonts w:ascii="仿宋_GB2312" w:hAnsi="仿宋_GB2312" w:eastAsia="仿宋_GB2312" w:cs="仿宋_GB2312"/>
          <w:b/>
          <w:sz w:val="24"/>
        </w:rPr>
        <w:t>本项目涉及优先采购环境标志产品：</w:t>
      </w:r>
    </w:p>
    <w:p>
      <w:pPr>
        <w:pStyle w:val="4"/>
        <w:jc w:val="left"/>
      </w:pPr>
      <w:r>
        <w:rPr>
          <w:rFonts w:ascii="仿宋_GB2312" w:hAnsi="仿宋_GB2312" w:eastAsia="仿宋_GB2312" w:cs="仿宋_GB2312"/>
        </w:rPr>
        <w:t>采购包1：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31"/>
        <w:gridCol w:w="2492"/>
        <w:gridCol w:w="2492"/>
        <w:gridCol w:w="2492"/>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pPr>
              <w:pStyle w:val="4"/>
              <w:jc w:val="center"/>
            </w:pPr>
            <w:r>
              <w:rPr>
                <w:rFonts w:ascii="仿宋_GB2312" w:hAnsi="仿宋_GB2312" w:eastAsia="仿宋_GB2312" w:cs="仿宋_GB2312"/>
              </w:rPr>
              <w:t>序号</w:t>
            </w:r>
          </w:p>
        </w:tc>
        <w:tc>
          <w:tcPr>
            <w:tcW w:w="2492" w:type="dxa"/>
          </w:tcPr>
          <w:p>
            <w:pPr>
              <w:pStyle w:val="4"/>
              <w:jc w:val="center"/>
            </w:pPr>
            <w:r>
              <w:rPr>
                <w:rFonts w:ascii="仿宋_GB2312" w:hAnsi="仿宋_GB2312" w:eastAsia="仿宋_GB2312" w:cs="仿宋_GB2312"/>
              </w:rPr>
              <w:t>采购品目名称</w:t>
            </w:r>
          </w:p>
        </w:tc>
        <w:tc>
          <w:tcPr>
            <w:tcW w:w="2492" w:type="dxa"/>
          </w:tcPr>
          <w:p>
            <w:pPr>
              <w:pStyle w:val="4"/>
              <w:jc w:val="center"/>
            </w:pPr>
            <w:r>
              <w:rPr>
                <w:rFonts w:ascii="仿宋_GB2312" w:hAnsi="仿宋_GB2312" w:eastAsia="仿宋_GB2312" w:cs="仿宋_GB2312"/>
              </w:rPr>
              <w:t>标的名称</w:t>
            </w:r>
          </w:p>
        </w:tc>
        <w:tc>
          <w:tcPr>
            <w:tcW w:w="2492" w:type="dxa"/>
          </w:tcPr>
          <w:p>
            <w:pPr>
              <w:pStyle w:val="4"/>
              <w:jc w:val="center"/>
            </w:pPr>
            <w:r>
              <w:rPr>
                <w:rFonts w:ascii="仿宋_GB2312" w:hAnsi="仿宋_GB2312" w:eastAsia="仿宋_GB2312" w:cs="仿宋_GB2312"/>
              </w:rPr>
              <w:t>产品名称</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7" w:type="dxa"/>
            <w:gridSpan w:val="4"/>
          </w:tcPr>
          <w:p>
            <w:pPr>
              <w:pStyle w:val="4"/>
              <w:jc w:val="center"/>
            </w:pPr>
            <w:r>
              <w:rPr>
                <w:rFonts w:ascii="仿宋_GB2312" w:hAnsi="仿宋_GB2312" w:eastAsia="仿宋_GB2312" w:cs="仿宋_GB2312"/>
              </w:rPr>
              <w:t>不涉及</w:t>
            </w:r>
          </w:p>
        </w:tc>
      </w:tr>
    </w:tbl>
    <w:p>
      <w:pPr>
        <w:pStyle w:val="4"/>
        <w:ind w:firstLine="480"/>
        <w:jc w:val="left"/>
      </w:pPr>
      <w:r>
        <w:rPr>
          <w:rFonts w:ascii="仿宋_GB2312" w:hAnsi="仿宋_GB2312" w:eastAsia="仿宋_GB2312" w:cs="仿宋_GB2312"/>
        </w:rPr>
        <w:t>注：响应产品属于《环境标志产品政府采购品目清单》中的产品，投标人提供由国家确定的认证机构出具的、处于有效期之内的环境标志产品认证证书的原件扫描件或“全国认证认可信息公共服务平台”（http://cx.cnca.cn）的认证信息截图，可以享受优先采购政策。具体要求详见第五章规定。</w:t>
      </w:r>
    </w:p>
    <w:p>
      <w:pPr>
        <w:pStyle w:val="4"/>
        <w:jc w:val="left"/>
        <w:outlineLvl w:val="2"/>
      </w:pPr>
      <w:r>
        <w:rPr>
          <w:rFonts w:ascii="仿宋_GB2312" w:hAnsi="仿宋_GB2312" w:eastAsia="仿宋_GB2312" w:cs="仿宋_GB2312"/>
          <w:b/>
          <w:sz w:val="28"/>
        </w:rPr>
        <w:t>3.2.技术要求</w:t>
      </w:r>
    </w:p>
    <w:p>
      <w:pPr>
        <w:pStyle w:val="4"/>
        <w:jc w:val="left"/>
      </w:pPr>
      <w:r>
        <w:rPr>
          <w:rFonts w:ascii="仿宋_GB2312" w:hAnsi="仿宋_GB2312" w:eastAsia="仿宋_GB2312" w:cs="仿宋_GB2312"/>
        </w:rPr>
        <w:t>采购包1：</w:t>
      </w:r>
    </w:p>
    <w:p>
      <w:pPr>
        <w:pStyle w:val="4"/>
        <w:jc w:val="left"/>
      </w:pPr>
      <w:r>
        <w:rPr>
          <w:rFonts w:ascii="仿宋_GB2312" w:hAnsi="仿宋_GB2312" w:eastAsia="仿宋_GB2312" w:cs="仿宋_GB2312"/>
        </w:rPr>
        <w:t>标的名称：八一聚源高级中学物业管理服务</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16"/>
        <w:gridCol w:w="581"/>
        <w:gridCol w:w="1495"/>
        <w:gridCol w:w="5814"/>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pPr>
              <w:pStyle w:val="4"/>
              <w:jc w:val="center"/>
            </w:pPr>
            <w:r>
              <w:rPr>
                <w:rFonts w:ascii="仿宋_GB2312" w:hAnsi="仿宋_GB2312" w:eastAsia="仿宋_GB2312" w:cs="仿宋_GB2312"/>
              </w:rPr>
              <w:t>序号</w:t>
            </w:r>
          </w:p>
        </w:tc>
        <w:tc>
          <w:tcPr>
            <w:tcW w:w="581" w:type="dxa"/>
          </w:tcPr>
          <w:p>
            <w:pPr>
              <w:pStyle w:val="4"/>
              <w:jc w:val="center"/>
            </w:pPr>
            <w:r>
              <w:rPr>
                <w:rFonts w:ascii="仿宋_GB2312" w:hAnsi="仿宋_GB2312" w:eastAsia="仿宋_GB2312" w:cs="仿宋_GB2312"/>
              </w:rPr>
              <w:t>符号标识</w:t>
            </w:r>
          </w:p>
        </w:tc>
        <w:tc>
          <w:tcPr>
            <w:tcW w:w="1495" w:type="dxa"/>
          </w:tcPr>
          <w:p>
            <w:pPr>
              <w:pStyle w:val="4"/>
              <w:jc w:val="center"/>
            </w:pPr>
            <w:r>
              <w:rPr>
                <w:rFonts w:ascii="仿宋_GB2312" w:hAnsi="仿宋_GB2312" w:eastAsia="仿宋_GB2312" w:cs="仿宋_GB2312"/>
              </w:rPr>
              <w:t>技术要求名称</w:t>
            </w:r>
          </w:p>
        </w:tc>
        <w:tc>
          <w:tcPr>
            <w:tcW w:w="5814" w:type="dxa"/>
          </w:tcPr>
          <w:p>
            <w:pPr>
              <w:pStyle w:val="4"/>
              <w:jc w:val="center"/>
            </w:pPr>
            <w:r>
              <w:rPr>
                <w:rFonts w:ascii="仿宋_GB2312" w:hAnsi="仿宋_GB2312" w:eastAsia="仿宋_GB2312" w:cs="仿宋_GB2312"/>
              </w:rPr>
              <w:t>技术参数与性能指标</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pPr>
              <w:pStyle w:val="4"/>
              <w:jc w:val="center"/>
            </w:pPr>
            <w:r>
              <w:rPr>
                <w:rFonts w:ascii="仿宋_GB2312" w:hAnsi="仿宋_GB2312" w:eastAsia="仿宋_GB2312" w:cs="仿宋_GB2312"/>
              </w:rPr>
              <w:t>1</w:t>
            </w:r>
          </w:p>
        </w:tc>
        <w:tc>
          <w:tcPr>
            <w:tcW w:w="581" w:type="dxa"/>
          </w:tcPr>
          <w:p/>
        </w:tc>
        <w:tc>
          <w:tcPr>
            <w:tcW w:w="1495" w:type="dxa"/>
          </w:tcPr>
          <w:p/>
        </w:tc>
        <w:tc>
          <w:tcPr>
            <w:tcW w:w="5814" w:type="dxa"/>
          </w:tcPr>
          <w:p>
            <w:pPr>
              <w:pStyle w:val="4"/>
              <w:jc w:val="left"/>
            </w:pPr>
            <w:r>
              <w:rPr>
                <w:rFonts w:ascii="仿宋_GB2312" w:hAnsi="仿宋_GB2312" w:eastAsia="仿宋_GB2312" w:cs="仿宋_GB2312"/>
              </w:rPr>
              <w:t>无</w:t>
            </w:r>
          </w:p>
        </w:tc>
      </w:tr>
    </w:tbl>
    <w:p>
      <w:pPr>
        <w:pStyle w:val="4"/>
        <w:jc w:val="left"/>
        <w:outlineLvl w:val="2"/>
      </w:pPr>
      <w:r>
        <w:rPr>
          <w:rFonts w:ascii="仿宋_GB2312" w:hAnsi="仿宋_GB2312" w:eastAsia="仿宋_GB2312" w:cs="仿宋_GB2312"/>
          <w:b/>
          <w:sz w:val="28"/>
        </w:rPr>
        <w:t>3.3.服务要求</w:t>
      </w:r>
    </w:p>
    <w:p>
      <w:pPr>
        <w:pStyle w:val="4"/>
        <w:jc w:val="left"/>
        <w:outlineLvl w:val="3"/>
      </w:pPr>
      <w:r>
        <w:rPr>
          <w:rFonts w:ascii="仿宋_GB2312" w:hAnsi="仿宋_GB2312" w:eastAsia="仿宋_GB2312" w:cs="仿宋_GB2312"/>
          <w:b/>
          <w:sz w:val="24"/>
        </w:rPr>
        <w:t>3.3.1.服务内容要求</w:t>
      </w:r>
    </w:p>
    <w:p>
      <w:pPr>
        <w:pStyle w:val="4"/>
        <w:jc w:val="left"/>
      </w:pPr>
      <w:r>
        <w:rPr>
          <w:rFonts w:ascii="仿宋_GB2312" w:hAnsi="仿宋_GB2312" w:eastAsia="仿宋_GB2312" w:cs="仿宋_GB2312"/>
        </w:rPr>
        <w:t>采购包1：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16"/>
        <w:gridCol w:w="581"/>
        <w:gridCol w:w="1495"/>
        <w:gridCol w:w="5814"/>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pPr>
              <w:pStyle w:val="4"/>
              <w:jc w:val="center"/>
            </w:pPr>
            <w:r>
              <w:rPr>
                <w:rFonts w:ascii="仿宋_GB2312" w:hAnsi="仿宋_GB2312" w:eastAsia="仿宋_GB2312" w:cs="仿宋_GB2312"/>
              </w:rPr>
              <w:t xml:space="preserve"> 序号</w:t>
            </w:r>
          </w:p>
        </w:tc>
        <w:tc>
          <w:tcPr>
            <w:tcW w:w="581" w:type="dxa"/>
          </w:tcPr>
          <w:p>
            <w:pPr>
              <w:pStyle w:val="4"/>
              <w:jc w:val="center"/>
            </w:pPr>
            <w:r>
              <w:rPr>
                <w:rFonts w:ascii="仿宋_GB2312" w:hAnsi="仿宋_GB2312" w:eastAsia="仿宋_GB2312" w:cs="仿宋_GB2312"/>
              </w:rPr>
              <w:t xml:space="preserve"> 符号标识</w:t>
            </w:r>
          </w:p>
        </w:tc>
        <w:tc>
          <w:tcPr>
            <w:tcW w:w="1495" w:type="dxa"/>
          </w:tcPr>
          <w:p>
            <w:pPr>
              <w:pStyle w:val="4"/>
              <w:jc w:val="center"/>
            </w:pPr>
            <w:r>
              <w:rPr>
                <w:rFonts w:ascii="仿宋_GB2312" w:hAnsi="仿宋_GB2312" w:eastAsia="仿宋_GB2312" w:cs="仿宋_GB2312"/>
              </w:rPr>
              <w:t xml:space="preserve"> 服务要求名称</w:t>
            </w:r>
          </w:p>
        </w:tc>
        <w:tc>
          <w:tcPr>
            <w:tcW w:w="5814" w:type="dxa"/>
          </w:tcPr>
          <w:p>
            <w:pPr>
              <w:pStyle w:val="4"/>
              <w:jc w:val="center"/>
            </w:pPr>
            <w:r>
              <w:rPr>
                <w:rFonts w:ascii="仿宋_GB2312" w:hAnsi="仿宋_GB2312" w:eastAsia="仿宋_GB2312" w:cs="仿宋_GB2312"/>
              </w:rPr>
              <w:t xml:space="preserve"> 服务要求内容</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pPr>
              <w:pStyle w:val="4"/>
              <w:jc w:val="center"/>
            </w:pPr>
            <w:r>
              <w:rPr>
                <w:rFonts w:ascii="仿宋_GB2312" w:hAnsi="仿宋_GB2312" w:eastAsia="仿宋_GB2312" w:cs="仿宋_GB2312"/>
              </w:rPr>
              <w:t>1</w:t>
            </w:r>
          </w:p>
        </w:tc>
        <w:tc>
          <w:tcPr>
            <w:tcW w:w="581" w:type="dxa"/>
          </w:tcPr>
          <w:p>
            <w:pPr>
              <w:pStyle w:val="4"/>
              <w:jc w:val="center"/>
            </w:pPr>
            <w:r>
              <w:rPr>
                <w:rFonts w:ascii="仿宋_GB2312" w:hAnsi="仿宋_GB2312" w:eastAsia="仿宋_GB2312" w:cs="仿宋_GB2312"/>
              </w:rPr>
              <w:t>★</w:t>
            </w:r>
          </w:p>
        </w:tc>
        <w:tc>
          <w:tcPr>
            <w:tcW w:w="1495" w:type="dxa"/>
          </w:tcPr>
          <w:p>
            <w:pPr>
              <w:pStyle w:val="4"/>
              <w:jc w:val="left"/>
            </w:pPr>
            <w:r>
              <w:rPr>
                <w:rFonts w:ascii="仿宋_GB2312" w:hAnsi="仿宋_GB2312" w:eastAsia="仿宋_GB2312" w:cs="仿宋_GB2312"/>
              </w:rPr>
              <w:t>服务内容及要求</w:t>
            </w:r>
          </w:p>
        </w:tc>
        <w:tc>
          <w:tcPr>
            <w:tcW w:w="5814" w:type="dxa"/>
          </w:tcPr>
          <w:p>
            <w:pPr>
              <w:pStyle w:val="4"/>
              <w:spacing w:before="105" w:after="105"/>
              <w:jc w:val="both"/>
            </w:pPr>
            <w:r>
              <w:rPr>
                <w:rFonts w:ascii="仿宋_GB2312" w:hAnsi="仿宋_GB2312" w:eastAsia="仿宋_GB2312" w:cs="仿宋_GB2312"/>
                <w:sz w:val="21"/>
              </w:rPr>
              <w:t>★（一）总体服务要求【说明：提供承诺函并加盖电子签章，格式自拟】</w:t>
            </w:r>
          </w:p>
          <w:p>
            <w:pPr>
              <w:pStyle w:val="4"/>
              <w:spacing w:before="105" w:after="105"/>
              <w:jc w:val="both"/>
            </w:pPr>
            <w:r>
              <w:rPr>
                <w:rFonts w:ascii="仿宋_GB2312" w:hAnsi="仿宋_GB2312" w:eastAsia="仿宋_GB2312" w:cs="仿宋_GB2312"/>
                <w:sz w:val="21"/>
              </w:rPr>
              <w:t>1、投标人要有严格的规章制度，有长效的培训和提高物业从业人员素质的长短期计划，有行之有效的训练考核机制，使物业从业人员的基本素质和协调解决问题的能力逐年提高，杜绝物业从业人员到位后，无人管理无人监督现象。</w:t>
            </w:r>
          </w:p>
          <w:p>
            <w:pPr>
              <w:pStyle w:val="4"/>
              <w:spacing w:before="105" w:after="105"/>
              <w:jc w:val="both"/>
            </w:pPr>
            <w:r>
              <w:rPr>
                <w:rFonts w:ascii="仿宋_GB2312" w:hAnsi="仿宋_GB2312" w:eastAsia="仿宋_GB2312" w:cs="仿宋_GB2312"/>
                <w:sz w:val="21"/>
              </w:rPr>
              <w:t>2、按照本项目招标文件的服务范围、服务内容及要求组建项目管理机构，合理安排人员，科学管理，规范运行。</w:t>
            </w:r>
          </w:p>
          <w:p>
            <w:pPr>
              <w:pStyle w:val="4"/>
              <w:spacing w:before="105" w:after="105"/>
              <w:jc w:val="both"/>
            </w:pPr>
            <w:r>
              <w:rPr>
                <w:rFonts w:ascii="仿宋_GB2312" w:hAnsi="仿宋_GB2312" w:eastAsia="仿宋_GB2312" w:cs="仿宋_GB2312"/>
                <w:sz w:val="21"/>
              </w:rPr>
              <w:t>3、学校是人员密集的教育场所，一旦出现紧急、危险情况，容易引起人员伤害和财产损失。投标人应在响应文件中提供切实有效且符合项目实际情况的应急处置预案，包括但不限于断水断电；防洪防汛；防恐防暴应急预案；各类常见紧急情况（地震、暴雨或灾害性天气、突发公共卫生事件、学生打架斗殴、学生意外伤害）；消防应急；疫情防控等。并高度配合采购人做好学校突发事件应急处置及师生意外伤害救护工作。</w:t>
            </w:r>
          </w:p>
          <w:p>
            <w:pPr>
              <w:pStyle w:val="4"/>
              <w:spacing w:before="105" w:after="105"/>
              <w:jc w:val="both"/>
            </w:pPr>
            <w:r>
              <w:rPr>
                <w:rFonts w:ascii="仿宋_GB2312" w:hAnsi="仿宋_GB2312" w:eastAsia="仿宋_GB2312" w:cs="仿宋_GB2312"/>
                <w:sz w:val="21"/>
              </w:rPr>
              <w:t>4、投标人应配合采购人做好本项目节能减排工作，在物业管理工作中，完善节能管理制度，做好能源管理，厉行节约用水、用电、用气，积极向采购人提供节能措施及建议，消除不必要的能源消耗。</w:t>
            </w:r>
          </w:p>
          <w:p>
            <w:pPr>
              <w:pStyle w:val="4"/>
              <w:spacing w:before="105" w:after="105"/>
              <w:jc w:val="both"/>
            </w:pPr>
            <w:r>
              <w:rPr>
                <w:rFonts w:ascii="仿宋_GB2312" w:hAnsi="仿宋_GB2312" w:eastAsia="仿宋_GB2312" w:cs="仿宋_GB2312"/>
                <w:sz w:val="21"/>
              </w:rPr>
              <w:t>5、本项目物业服务费用包含人工成本、服装费、企业管理费、利润及招标文件约定的其他费用或投标人认为需报价的其他费用、税费（增值税及其附加）等完成项目服务内容的所有费用。</w:t>
            </w:r>
          </w:p>
          <w:p>
            <w:pPr>
              <w:pStyle w:val="4"/>
              <w:spacing w:before="105" w:after="105"/>
              <w:jc w:val="both"/>
            </w:pPr>
            <w:r>
              <w:rPr>
                <w:rFonts w:ascii="仿宋_GB2312" w:hAnsi="仿宋_GB2312" w:eastAsia="仿宋_GB2312" w:cs="仿宋_GB2312"/>
                <w:sz w:val="21"/>
              </w:rPr>
              <w:t>6、投标人应建立激励机制，定期评选优秀员工，以此来提高员工工作积极性，让其融入到团队当中，更好地服务于采购人。</w:t>
            </w:r>
          </w:p>
          <w:p>
            <w:pPr>
              <w:pStyle w:val="4"/>
              <w:spacing w:before="105" w:after="105"/>
              <w:jc w:val="both"/>
            </w:pPr>
            <w:r>
              <w:rPr>
                <w:rFonts w:ascii="仿宋_GB2312" w:hAnsi="仿宋_GB2312" w:eastAsia="仿宋_GB2312" w:cs="仿宋_GB2312"/>
                <w:sz w:val="21"/>
              </w:rPr>
              <w:t>★（二）具体服务内容及要求【说明：提供承诺函并加盖电子签章，格式自拟】</w:t>
            </w:r>
          </w:p>
          <w:p>
            <w:pPr>
              <w:pStyle w:val="4"/>
              <w:spacing w:before="105" w:after="105"/>
              <w:jc w:val="both"/>
            </w:pPr>
            <w:r>
              <w:rPr>
                <w:rFonts w:ascii="仿宋_GB2312" w:hAnsi="仿宋_GB2312" w:eastAsia="仿宋_GB2312" w:cs="仿宋_GB2312"/>
                <w:sz w:val="21"/>
              </w:rPr>
              <w:t>1、学校安全与管理</w:t>
            </w:r>
          </w:p>
          <w:p>
            <w:pPr>
              <w:pStyle w:val="4"/>
              <w:spacing w:before="105" w:after="105"/>
              <w:jc w:val="both"/>
            </w:pPr>
            <w:r>
              <w:rPr>
                <w:rFonts w:ascii="仿宋_GB2312" w:hAnsi="仿宋_GB2312" w:eastAsia="仿宋_GB2312" w:cs="仿宋_GB2312"/>
                <w:sz w:val="21"/>
              </w:rPr>
              <w:t>（1）供应商需定期对秩序维护人员进行业务知识、礼仪礼节及技能培训。秩序维护人员能熟练掌握警用器械的使用方法并妥善保管。</w:t>
            </w:r>
          </w:p>
          <w:p>
            <w:pPr>
              <w:pStyle w:val="4"/>
              <w:spacing w:before="105" w:after="105"/>
              <w:jc w:val="both"/>
            </w:pPr>
            <w:r>
              <w:rPr>
                <w:rFonts w:ascii="仿宋_GB2312" w:hAnsi="仿宋_GB2312" w:eastAsia="仿宋_GB2312" w:cs="仿宋_GB2312"/>
                <w:sz w:val="21"/>
              </w:rPr>
              <w:t>（2）秩序维护人员上班统一着装，仪容端庄、仪表整洁、礼貌服务。</w:t>
            </w:r>
          </w:p>
          <w:p>
            <w:pPr>
              <w:pStyle w:val="4"/>
              <w:spacing w:before="105" w:after="105"/>
              <w:jc w:val="both"/>
            </w:pPr>
            <w:r>
              <w:rPr>
                <w:rFonts w:ascii="仿宋_GB2312" w:hAnsi="仿宋_GB2312" w:eastAsia="仿宋_GB2312" w:cs="仿宋_GB2312"/>
                <w:sz w:val="21"/>
              </w:rPr>
              <w:t>（3）服务内容：</w:t>
            </w:r>
          </w:p>
          <w:p>
            <w:pPr>
              <w:pStyle w:val="4"/>
              <w:spacing w:before="105" w:after="105"/>
              <w:jc w:val="both"/>
            </w:pPr>
            <w:r>
              <w:rPr>
                <w:rFonts w:ascii="仿宋_GB2312" w:hAnsi="仿宋_GB2312" w:eastAsia="仿宋_GB2312" w:cs="仿宋_GB2312"/>
                <w:sz w:val="21"/>
              </w:rPr>
              <w:t>1）学校的门卫管理、出入人员、车辆检查、登记和来访人员接待、引领、传达工作。</w:t>
            </w:r>
          </w:p>
          <w:p>
            <w:pPr>
              <w:pStyle w:val="4"/>
              <w:spacing w:before="105" w:after="105"/>
              <w:jc w:val="both"/>
            </w:pPr>
            <w:r>
              <w:rPr>
                <w:rFonts w:ascii="仿宋_GB2312" w:hAnsi="仿宋_GB2312" w:eastAsia="仿宋_GB2312" w:cs="仿宋_GB2312"/>
                <w:sz w:val="21"/>
              </w:rPr>
              <w:t>2）保证学校安全，维护公共秩序，配合学校处理各种突发事故。按学校的相关规定，实行24小时门卫值班制，不定时巡查制。</w:t>
            </w:r>
          </w:p>
          <w:p>
            <w:pPr>
              <w:pStyle w:val="4"/>
              <w:spacing w:before="105" w:after="105"/>
              <w:jc w:val="both"/>
            </w:pPr>
            <w:r>
              <w:rPr>
                <w:rFonts w:ascii="仿宋_GB2312" w:hAnsi="仿宋_GB2312" w:eastAsia="仿宋_GB2312" w:cs="仿宋_GB2312"/>
                <w:sz w:val="21"/>
              </w:rPr>
              <w:t>3）校园内车辆停放秩序的管理、学生自行车的进出管理。按照学校对此项的相关规定，并负责对学生自行车进出管理。</w:t>
            </w:r>
          </w:p>
          <w:p>
            <w:pPr>
              <w:pStyle w:val="4"/>
              <w:spacing w:before="105" w:after="105"/>
              <w:jc w:val="both"/>
            </w:pPr>
            <w:r>
              <w:rPr>
                <w:rFonts w:ascii="仿宋_GB2312" w:hAnsi="仿宋_GB2312" w:eastAsia="仿宋_GB2312" w:cs="仿宋_GB2312"/>
                <w:sz w:val="21"/>
              </w:rPr>
              <w:t>4）物业管理区域内消防安全管理。</w:t>
            </w:r>
          </w:p>
          <w:p>
            <w:pPr>
              <w:pStyle w:val="4"/>
              <w:spacing w:before="105" w:after="105"/>
              <w:jc w:val="both"/>
            </w:pPr>
            <w:r>
              <w:rPr>
                <w:rFonts w:ascii="仿宋_GB2312" w:hAnsi="仿宋_GB2312" w:eastAsia="仿宋_GB2312" w:cs="仿宋_GB2312"/>
                <w:sz w:val="21"/>
              </w:rPr>
              <w:t>5）建立应急管理预案（如地震、火灾等突发事件）</w:t>
            </w:r>
          </w:p>
          <w:p>
            <w:pPr>
              <w:pStyle w:val="4"/>
              <w:spacing w:before="105" w:after="105"/>
              <w:jc w:val="both"/>
            </w:pPr>
            <w:r>
              <w:rPr>
                <w:rFonts w:ascii="仿宋_GB2312" w:hAnsi="仿宋_GB2312" w:eastAsia="仿宋_GB2312" w:cs="仿宋_GB2312"/>
                <w:sz w:val="21"/>
              </w:rPr>
              <w:t>6）学校临时性工作包括不仅限于物品搬运。</w:t>
            </w:r>
          </w:p>
          <w:p>
            <w:pPr>
              <w:pStyle w:val="4"/>
              <w:spacing w:before="105" w:after="105"/>
              <w:jc w:val="both"/>
            </w:pPr>
            <w:r>
              <w:rPr>
                <w:rFonts w:ascii="仿宋_GB2312" w:hAnsi="仿宋_GB2312" w:eastAsia="仿宋_GB2312" w:cs="仿宋_GB2312"/>
                <w:sz w:val="21"/>
              </w:rPr>
              <w:t>（4）工作标准：</w:t>
            </w:r>
          </w:p>
          <w:p>
            <w:pPr>
              <w:pStyle w:val="4"/>
              <w:spacing w:before="105" w:after="105"/>
              <w:jc w:val="both"/>
            </w:pPr>
            <w:r>
              <w:rPr>
                <w:rFonts w:ascii="仿宋_GB2312" w:hAnsi="仿宋_GB2312" w:eastAsia="仿宋_GB2312" w:cs="仿宋_GB2312"/>
                <w:sz w:val="21"/>
              </w:rPr>
              <w:t>1）严格制止闲杂人员、小商贩、推销人员进入校区。</w:t>
            </w:r>
          </w:p>
          <w:p>
            <w:pPr>
              <w:pStyle w:val="4"/>
              <w:spacing w:before="105" w:after="105"/>
              <w:jc w:val="both"/>
            </w:pPr>
            <w:r>
              <w:rPr>
                <w:rFonts w:ascii="仿宋_GB2312" w:hAnsi="仿宋_GB2312" w:eastAsia="仿宋_GB2312" w:cs="仿宋_GB2312"/>
                <w:sz w:val="21"/>
              </w:rPr>
              <w:t>2）提高警惕,发现可疑人员和可疑事件应及时处理并迅速报告上级。</w:t>
            </w:r>
          </w:p>
          <w:p>
            <w:pPr>
              <w:pStyle w:val="4"/>
              <w:spacing w:before="105" w:after="105"/>
              <w:jc w:val="both"/>
            </w:pPr>
            <w:r>
              <w:rPr>
                <w:rFonts w:ascii="仿宋_GB2312" w:hAnsi="仿宋_GB2312" w:eastAsia="仿宋_GB2312" w:cs="仿宋_GB2312"/>
                <w:sz w:val="21"/>
              </w:rPr>
              <w:t>3）认真履行值班登记制度,详细记录值班中所发生、处理的各种情况。</w:t>
            </w:r>
          </w:p>
          <w:p>
            <w:pPr>
              <w:pStyle w:val="4"/>
              <w:spacing w:before="105" w:after="105"/>
              <w:jc w:val="both"/>
            </w:pPr>
            <w:r>
              <w:rPr>
                <w:rFonts w:ascii="仿宋_GB2312" w:hAnsi="仿宋_GB2312" w:eastAsia="仿宋_GB2312" w:cs="仿宋_GB2312"/>
                <w:sz w:val="21"/>
              </w:rPr>
              <w:t>4）坚持执行校区大宗及贵重物品凭证外移制度,确保学校财产安全。</w:t>
            </w:r>
          </w:p>
          <w:p>
            <w:pPr>
              <w:pStyle w:val="4"/>
              <w:spacing w:before="105" w:after="105"/>
              <w:jc w:val="both"/>
            </w:pPr>
            <w:r>
              <w:rPr>
                <w:rFonts w:ascii="仿宋_GB2312" w:hAnsi="仿宋_GB2312" w:eastAsia="仿宋_GB2312" w:cs="仿宋_GB2312"/>
                <w:sz w:val="21"/>
              </w:rPr>
              <w:t>5）维护巡逻范围内的正常公共秩序、机动车停放秩序,热情回答访客的咨询,必要时可为其向导。</w:t>
            </w:r>
          </w:p>
          <w:p>
            <w:pPr>
              <w:pStyle w:val="4"/>
              <w:spacing w:before="105" w:after="105"/>
              <w:jc w:val="both"/>
            </w:pPr>
            <w:r>
              <w:rPr>
                <w:rFonts w:ascii="仿宋_GB2312" w:hAnsi="仿宋_GB2312" w:eastAsia="仿宋_GB2312" w:cs="仿宋_GB2312"/>
                <w:sz w:val="21"/>
              </w:rPr>
              <w:t>6）秩序维护人员至少配置10人。法定节假日、休息日供应商至少每天安排3人值班，每人工作时间8小时，休息日值班可安排调休，充分保障法定节假日及休息日期间校园公共秩序安全。【说明：提供承诺函并加盖电子签章，格式自拟】</w:t>
            </w:r>
          </w:p>
          <w:p>
            <w:pPr>
              <w:pStyle w:val="4"/>
              <w:spacing w:before="105" w:after="105"/>
              <w:jc w:val="both"/>
            </w:pPr>
            <w:r>
              <w:rPr>
                <w:rFonts w:ascii="仿宋_GB2312" w:hAnsi="仿宋_GB2312" w:eastAsia="仿宋_GB2312" w:cs="仿宋_GB2312"/>
                <w:sz w:val="21"/>
              </w:rPr>
              <w:t>7）秩序维护及灾害预防：建立秩序维护规章制度和操作规程，普及安全防范知识，安全用电、用气、安全操作设备及机具。在投标文件中提供暴雨或灾害性天气应急预案，应急预案应包括对露天设施的抗强风能力进行检查和加固；对集水井水泵运转情况进行检查，保证正常排涝；对排水系统进行检查，确保排水通畅；准备必要的抢险物资；安排值班人员进行巡查等。</w:t>
            </w:r>
          </w:p>
          <w:p>
            <w:pPr>
              <w:pStyle w:val="4"/>
              <w:spacing w:before="105" w:after="105"/>
              <w:jc w:val="both"/>
            </w:pPr>
            <w:r>
              <w:rPr>
                <w:rFonts w:ascii="仿宋_GB2312" w:hAnsi="仿宋_GB2312" w:eastAsia="仿宋_GB2312" w:cs="仿宋_GB2312"/>
                <w:sz w:val="21"/>
              </w:rPr>
              <w:t>8）执勤中不准擅离岗位，要勤巡查，注意发现可疑的人、事、物，预防案件、事故的发生，力争做到万无一失。</w:t>
            </w:r>
          </w:p>
          <w:p>
            <w:pPr>
              <w:pStyle w:val="4"/>
              <w:spacing w:before="105" w:after="105"/>
              <w:jc w:val="both"/>
            </w:pPr>
            <w:r>
              <w:rPr>
                <w:rFonts w:ascii="仿宋_GB2312" w:hAnsi="仿宋_GB2312" w:eastAsia="仿宋_GB2312" w:cs="仿宋_GB2312"/>
                <w:sz w:val="21"/>
              </w:rPr>
              <w:t>9）供应商配备并清理、检查各类秩序维护服务设备(须包含防爆头盔、塑胶棍、防刺服、防刺手套、辣椒水、钢叉、盾牌、对讲机等非杀伤性武器），并摆放在规定的位置。</w:t>
            </w:r>
          </w:p>
          <w:p>
            <w:pPr>
              <w:pStyle w:val="4"/>
              <w:spacing w:before="105" w:after="105"/>
              <w:jc w:val="both"/>
            </w:pPr>
            <w:r>
              <w:rPr>
                <w:rFonts w:ascii="仿宋_GB2312" w:hAnsi="仿宋_GB2312" w:eastAsia="仿宋_GB2312" w:cs="仿宋_GB2312"/>
                <w:sz w:val="21"/>
              </w:rPr>
              <w:t>（5）秩序维护员应遵守以下规定：</w:t>
            </w:r>
          </w:p>
          <w:p>
            <w:pPr>
              <w:pStyle w:val="4"/>
              <w:spacing w:before="105" w:after="105"/>
              <w:jc w:val="both"/>
            </w:pPr>
            <w:r>
              <w:rPr>
                <w:rFonts w:ascii="仿宋_GB2312" w:hAnsi="仿宋_GB2312" w:eastAsia="仿宋_GB2312" w:cs="仿宋_GB2312"/>
                <w:sz w:val="21"/>
              </w:rPr>
              <w:t>1）穿戴秩序维护员制服、帽子，不得穿便服和拖鞋。</w:t>
            </w:r>
          </w:p>
          <w:p>
            <w:pPr>
              <w:pStyle w:val="4"/>
              <w:spacing w:before="105" w:after="105"/>
              <w:jc w:val="both"/>
            </w:pPr>
            <w:r>
              <w:rPr>
                <w:rFonts w:ascii="仿宋_GB2312" w:hAnsi="仿宋_GB2312" w:eastAsia="仿宋_GB2312" w:cs="仿宋_GB2312"/>
                <w:sz w:val="21"/>
              </w:rPr>
              <w:t>2）严格执行交接班制度，按时按规定交接班，不得迟到、早退，更不能误班、漏班，认真作好记录。</w:t>
            </w:r>
          </w:p>
          <w:p>
            <w:pPr>
              <w:pStyle w:val="4"/>
              <w:spacing w:before="105" w:after="105"/>
              <w:jc w:val="both"/>
            </w:pPr>
            <w:r>
              <w:rPr>
                <w:rFonts w:ascii="仿宋_GB2312" w:hAnsi="仿宋_GB2312" w:eastAsia="仿宋_GB2312" w:cs="仿宋_GB2312"/>
                <w:sz w:val="21"/>
              </w:rPr>
              <w:t>3）定期检查灭火器并能使用灭火器，投标文件中应提供灭火器检查表模版。</w:t>
            </w:r>
          </w:p>
          <w:p>
            <w:pPr>
              <w:pStyle w:val="4"/>
              <w:spacing w:before="105" w:after="105"/>
              <w:jc w:val="both"/>
            </w:pPr>
            <w:r>
              <w:rPr>
                <w:rFonts w:ascii="仿宋_GB2312" w:hAnsi="仿宋_GB2312" w:eastAsia="仿宋_GB2312" w:cs="仿宋_GB2312"/>
                <w:sz w:val="21"/>
              </w:rPr>
              <w:t>4）注意关灯、关窗、电风扇、空调、锁门、严防失窃。</w:t>
            </w:r>
          </w:p>
          <w:p>
            <w:pPr>
              <w:pStyle w:val="4"/>
              <w:spacing w:before="105" w:after="105"/>
              <w:jc w:val="both"/>
            </w:pPr>
            <w:r>
              <w:rPr>
                <w:rFonts w:ascii="仿宋_GB2312" w:hAnsi="仿宋_GB2312" w:eastAsia="仿宋_GB2312" w:cs="仿宋_GB2312"/>
                <w:sz w:val="21"/>
              </w:rPr>
              <w:t>5）不得擅离岗位，不得做与保卫工作无关之事。</w:t>
            </w:r>
          </w:p>
          <w:p>
            <w:pPr>
              <w:pStyle w:val="4"/>
              <w:spacing w:before="105" w:after="105"/>
              <w:jc w:val="both"/>
            </w:pPr>
            <w:r>
              <w:rPr>
                <w:rFonts w:ascii="仿宋_GB2312" w:hAnsi="仿宋_GB2312" w:eastAsia="仿宋_GB2312" w:cs="仿宋_GB2312"/>
                <w:sz w:val="21"/>
              </w:rPr>
              <w:t>6）严格执行校门准入制度，做好入校登记，禁止未得到许可的外来人员进入学校。</w:t>
            </w:r>
          </w:p>
          <w:p>
            <w:pPr>
              <w:pStyle w:val="4"/>
              <w:spacing w:before="105" w:after="105"/>
              <w:jc w:val="both"/>
            </w:pPr>
            <w:r>
              <w:rPr>
                <w:rFonts w:ascii="仿宋_GB2312" w:hAnsi="仿宋_GB2312" w:eastAsia="仿宋_GB2312" w:cs="仿宋_GB2312"/>
                <w:sz w:val="21"/>
              </w:rPr>
              <w:t>7）学生因生病或其它特殊情况的确需要出门时，必须先向班主任提出书面申请，指定陪同人员，经班主任签字同意，再持请假条到门卫处填写外出登记表后，方能与陪同人员一同离校。门卫严格登记并要妥善保存学生请假资料。</w:t>
            </w:r>
          </w:p>
          <w:p>
            <w:pPr>
              <w:pStyle w:val="4"/>
              <w:spacing w:before="105" w:after="105"/>
              <w:jc w:val="both"/>
            </w:pPr>
            <w:r>
              <w:rPr>
                <w:rFonts w:ascii="仿宋_GB2312" w:hAnsi="仿宋_GB2312" w:eastAsia="仿宋_GB2312" w:cs="仿宋_GB2312"/>
                <w:sz w:val="21"/>
              </w:rPr>
              <w:t>8）对整个校园、建筑楼层内进行定时和不定时安全巡查。</w:t>
            </w:r>
          </w:p>
          <w:p>
            <w:pPr>
              <w:pStyle w:val="4"/>
              <w:spacing w:before="105" w:after="105"/>
              <w:jc w:val="both"/>
            </w:pPr>
            <w:r>
              <w:rPr>
                <w:rFonts w:ascii="仿宋_GB2312" w:hAnsi="仿宋_GB2312" w:eastAsia="仿宋_GB2312" w:cs="仿宋_GB2312"/>
                <w:sz w:val="21"/>
              </w:rPr>
              <w:t>9）巡查内容主要包括：各楼层及公共区域的巡视和监管。巡查消防设备的完好性，公共设施有无损坏，教室及各功能房门窗、灯、风扇、空调是否人离即关。投标人在投标文件秩序维护服务方案中提供至少一套巡逻路线思路图及巡逻记录表模板。对值班、巡查中发现的问题及时处理，视情况向学校相关部门报告。</w:t>
            </w:r>
          </w:p>
          <w:p>
            <w:pPr>
              <w:pStyle w:val="4"/>
              <w:spacing w:before="105" w:after="105"/>
              <w:jc w:val="both"/>
            </w:pPr>
            <w:r>
              <w:rPr>
                <w:rFonts w:ascii="仿宋_GB2312" w:hAnsi="仿宋_GB2312" w:eastAsia="仿宋_GB2312" w:cs="仿宋_GB2312"/>
                <w:sz w:val="21"/>
              </w:rPr>
              <w:t>10）熟悉服务区域的地形及结构，了解各种公共设施、设备的分布及车辆和人员流动规律，认真记录工作情况，有物品、设施损坏及时上报；</w:t>
            </w:r>
          </w:p>
          <w:p>
            <w:pPr>
              <w:pStyle w:val="4"/>
              <w:spacing w:before="105" w:after="105"/>
              <w:jc w:val="both"/>
            </w:pPr>
            <w:r>
              <w:rPr>
                <w:rFonts w:ascii="仿宋_GB2312" w:hAnsi="仿宋_GB2312" w:eastAsia="仿宋_GB2312" w:cs="仿宋_GB2312"/>
                <w:sz w:val="21"/>
              </w:rPr>
              <w:t>11）协助学校建立消防及紧急疏散组织机构，确定义务消防人员名单。</w:t>
            </w:r>
          </w:p>
          <w:p>
            <w:pPr>
              <w:pStyle w:val="4"/>
              <w:spacing w:before="105" w:after="105"/>
              <w:jc w:val="both"/>
            </w:pPr>
            <w:r>
              <w:rPr>
                <w:rFonts w:ascii="仿宋_GB2312" w:hAnsi="仿宋_GB2312" w:eastAsia="仿宋_GB2312" w:cs="仿宋_GB2312"/>
                <w:sz w:val="21"/>
              </w:rPr>
              <w:t>12)完成上级领导安排的临时工作任务。</w:t>
            </w:r>
          </w:p>
          <w:p>
            <w:pPr>
              <w:pStyle w:val="4"/>
              <w:spacing w:before="105" w:after="105"/>
              <w:jc w:val="both"/>
            </w:pPr>
            <w:r>
              <w:rPr>
                <w:rFonts w:ascii="仿宋_GB2312" w:hAnsi="仿宋_GB2312" w:eastAsia="仿宋_GB2312" w:cs="仿宋_GB2312"/>
                <w:sz w:val="21"/>
              </w:rPr>
              <w:t>2、学校宿舍卫生与管理</w:t>
            </w:r>
          </w:p>
          <w:p>
            <w:pPr>
              <w:pStyle w:val="4"/>
              <w:spacing w:before="105" w:after="105"/>
              <w:jc w:val="both"/>
            </w:pPr>
            <w:r>
              <w:rPr>
                <w:rFonts w:ascii="仿宋_GB2312" w:hAnsi="仿宋_GB2312" w:eastAsia="仿宋_GB2312" w:cs="仿宋_GB2312"/>
                <w:sz w:val="21"/>
              </w:rPr>
              <w:t>（1）服务内容</w:t>
            </w:r>
          </w:p>
          <w:p>
            <w:pPr>
              <w:pStyle w:val="4"/>
              <w:spacing w:before="105" w:after="105"/>
              <w:jc w:val="both"/>
            </w:pPr>
            <w:r>
              <w:rPr>
                <w:rFonts w:ascii="仿宋_GB2312" w:hAnsi="仿宋_GB2312" w:eastAsia="仿宋_GB2312" w:cs="仿宋_GB2312"/>
                <w:sz w:val="21"/>
              </w:rPr>
              <w:t>1)学生宿舍门卫值班及维护宿舍的公共秩序（法定节假日正常休息，休息日值班可安排调休）维护正常的学生宿舍管理秩序。</w:t>
            </w:r>
          </w:p>
          <w:p>
            <w:pPr>
              <w:pStyle w:val="4"/>
              <w:spacing w:before="105" w:after="105"/>
              <w:jc w:val="both"/>
            </w:pPr>
            <w:r>
              <w:rPr>
                <w:rFonts w:ascii="仿宋_GB2312" w:hAnsi="仿宋_GB2312" w:eastAsia="仿宋_GB2312" w:cs="仿宋_GB2312"/>
                <w:sz w:val="21"/>
              </w:rPr>
              <w:t>2）随时保持门卫周围干净与整洁。实行24小时门卫值班制（法定节假日正常休息，休息日值班可安排调休）维护正常的学生宿舍管理秩序。</w:t>
            </w:r>
          </w:p>
          <w:p>
            <w:pPr>
              <w:pStyle w:val="4"/>
              <w:spacing w:before="105" w:after="105"/>
              <w:jc w:val="both"/>
            </w:pPr>
            <w:r>
              <w:rPr>
                <w:rFonts w:ascii="仿宋_GB2312" w:hAnsi="仿宋_GB2312" w:eastAsia="仿宋_GB2312" w:cs="仿宋_GB2312"/>
                <w:sz w:val="21"/>
              </w:rPr>
              <w:t>3）宿舍内保洁服务（含：教师寝室）。定时清扫楼梯、走廊等学生宿舍内公共场所，做到干净、整洁；指导和督促学生定打扫寝室，整理内务，做到规范、干净、整洁。</w:t>
            </w:r>
          </w:p>
          <w:p>
            <w:pPr>
              <w:pStyle w:val="4"/>
              <w:spacing w:before="105" w:after="105"/>
              <w:jc w:val="both"/>
            </w:pPr>
            <w:r>
              <w:rPr>
                <w:rFonts w:ascii="仿宋_GB2312" w:hAnsi="仿宋_GB2312" w:eastAsia="仿宋_GB2312" w:cs="仿宋_GB2312"/>
                <w:sz w:val="21"/>
              </w:rPr>
              <w:t>4）学生就寝纪律管理与服务。按时清查学生到位情况，负责学生就寝（含午休）纪律管理。</w:t>
            </w:r>
          </w:p>
          <w:p>
            <w:pPr>
              <w:pStyle w:val="4"/>
              <w:spacing w:before="105" w:after="105"/>
              <w:jc w:val="both"/>
            </w:pPr>
            <w:r>
              <w:rPr>
                <w:rFonts w:ascii="仿宋_GB2312" w:hAnsi="仿宋_GB2312" w:eastAsia="仿宋_GB2312" w:cs="仿宋_GB2312"/>
                <w:sz w:val="21"/>
              </w:rPr>
              <w:t>5)负责学生宿舍设施设备维护管理。</w:t>
            </w:r>
          </w:p>
          <w:p>
            <w:pPr>
              <w:pStyle w:val="4"/>
              <w:spacing w:before="105" w:after="105"/>
              <w:jc w:val="both"/>
            </w:pPr>
            <w:r>
              <w:rPr>
                <w:rFonts w:ascii="仿宋_GB2312" w:hAnsi="仿宋_GB2312" w:eastAsia="仿宋_GB2312" w:cs="仿宋_GB2312"/>
                <w:sz w:val="21"/>
              </w:rPr>
              <w:t>6)建立应急管理预案（如地震、火灾、袭击等突发事件）。</w:t>
            </w:r>
          </w:p>
          <w:p>
            <w:pPr>
              <w:pStyle w:val="4"/>
              <w:spacing w:before="105" w:after="105"/>
              <w:jc w:val="both"/>
            </w:pPr>
            <w:r>
              <w:rPr>
                <w:rFonts w:ascii="仿宋_GB2312" w:hAnsi="仿宋_GB2312" w:eastAsia="仿宋_GB2312" w:cs="仿宋_GB2312"/>
                <w:sz w:val="21"/>
              </w:rPr>
              <w:t>7)学校安排的临时工作。</w:t>
            </w:r>
          </w:p>
          <w:p>
            <w:pPr>
              <w:pStyle w:val="4"/>
              <w:spacing w:before="105" w:after="105"/>
              <w:jc w:val="both"/>
            </w:pPr>
            <w:r>
              <w:rPr>
                <w:rFonts w:ascii="仿宋_GB2312" w:hAnsi="仿宋_GB2312" w:eastAsia="仿宋_GB2312" w:cs="仿宋_GB2312"/>
                <w:sz w:val="21"/>
              </w:rPr>
              <w:t>（2）宿管员工作标准</w:t>
            </w:r>
          </w:p>
          <w:p>
            <w:pPr>
              <w:pStyle w:val="4"/>
              <w:spacing w:before="105" w:after="105"/>
              <w:jc w:val="both"/>
            </w:pPr>
            <w:r>
              <w:rPr>
                <w:rFonts w:ascii="仿宋_GB2312" w:hAnsi="仿宋_GB2312" w:eastAsia="仿宋_GB2312" w:cs="仿宋_GB2312"/>
                <w:sz w:val="21"/>
              </w:rPr>
              <w:t>1）宿管员实行24小时值班制（法定节假日正常休息，休息日值班可安排调休），上午9:00-12:00可自由安排。在岗时间若有特殊事情必须向主管领导请假批准方可离开，并做好相应安排。</w:t>
            </w:r>
          </w:p>
          <w:p>
            <w:pPr>
              <w:pStyle w:val="4"/>
              <w:spacing w:before="105" w:after="105"/>
              <w:jc w:val="both"/>
            </w:pPr>
            <w:r>
              <w:rPr>
                <w:rFonts w:ascii="仿宋_GB2312" w:hAnsi="仿宋_GB2312" w:eastAsia="仿宋_GB2312" w:cs="仿宋_GB2312"/>
                <w:sz w:val="21"/>
              </w:rPr>
              <w:t>2）学生宿舍安全。宿舍大门按时开关，防止外来人员进入寝室；上课、上自习时段学生进出寝室手续完备，并做好登记；工作日每天检查安全隐患，发现后如不能处理，立即上报；发现学生违纪情况应及时处理，有重大违纪及时报告当天学生宿舍值班组处理。</w:t>
            </w:r>
          </w:p>
          <w:p>
            <w:pPr>
              <w:pStyle w:val="4"/>
              <w:spacing w:before="105" w:after="105"/>
              <w:jc w:val="both"/>
            </w:pPr>
            <w:r>
              <w:rPr>
                <w:rFonts w:ascii="仿宋_GB2312" w:hAnsi="仿宋_GB2312" w:eastAsia="仿宋_GB2312" w:cs="仿宋_GB2312"/>
                <w:sz w:val="21"/>
              </w:rPr>
              <w:t>3）午休、晚寝做好对学生的就寝检查，认真清点人数，加强学生就寝纪律管理，在管理的基础上对各寝室纪律进行考核，并作好晚归及未归学生的登记。按时上交各类表册和考核分数。</w:t>
            </w:r>
          </w:p>
          <w:p>
            <w:pPr>
              <w:pStyle w:val="4"/>
              <w:spacing w:before="105" w:after="105"/>
              <w:jc w:val="both"/>
            </w:pPr>
            <w:r>
              <w:rPr>
                <w:rFonts w:ascii="仿宋_GB2312" w:hAnsi="仿宋_GB2312" w:eastAsia="仿宋_GB2312" w:cs="仿宋_GB2312"/>
                <w:sz w:val="21"/>
              </w:rPr>
              <w:t>4）认真打扫宿舍楼梯、生活阳台、走廊、公共卫生间、公共洗漱室以及宿舍楼前后区域的清洁卫生。地面、墙壁、洗漱池、便池干净整洁，无污物，屋顶无蜘蛛网，卫生间窗户及玻璃无灰尘，干净明亮。工作日每天对各寝室进行消毒、通风，以上工作要求于上午九点半前完成，午休起床、下午学生离寝后应做好相应保洁工作。</w:t>
            </w:r>
          </w:p>
          <w:p>
            <w:pPr>
              <w:pStyle w:val="4"/>
              <w:spacing w:before="105" w:after="105"/>
              <w:jc w:val="both"/>
            </w:pPr>
            <w:r>
              <w:rPr>
                <w:rFonts w:ascii="仿宋_GB2312" w:hAnsi="仿宋_GB2312" w:eastAsia="仿宋_GB2312" w:cs="仿宋_GB2312"/>
                <w:sz w:val="21"/>
              </w:rPr>
              <w:t>5)学生住宿期间每天对学生内务、卫生进行指导、监督、检查和考核，凡认为不合格者，立即联系班主任，要求他们必须重新整理和打扫，并注意督促学生寝室清洁卫生的保持。</w:t>
            </w:r>
          </w:p>
          <w:p>
            <w:pPr>
              <w:pStyle w:val="4"/>
              <w:spacing w:before="105" w:after="105"/>
              <w:jc w:val="both"/>
            </w:pPr>
            <w:r>
              <w:rPr>
                <w:rFonts w:ascii="仿宋_GB2312" w:hAnsi="仿宋_GB2312" w:eastAsia="仿宋_GB2312" w:cs="仿宋_GB2312"/>
                <w:sz w:val="21"/>
              </w:rPr>
              <w:t>6)督促学生寝室的开门、开窗通风，保证寝室空气对流。</w:t>
            </w:r>
          </w:p>
          <w:p>
            <w:pPr>
              <w:pStyle w:val="4"/>
              <w:spacing w:before="105" w:after="105"/>
              <w:jc w:val="both"/>
            </w:pPr>
            <w:r>
              <w:rPr>
                <w:rFonts w:ascii="仿宋_GB2312" w:hAnsi="仿宋_GB2312" w:eastAsia="仿宋_GB2312" w:cs="仿宋_GB2312"/>
                <w:sz w:val="21"/>
              </w:rPr>
              <w:t>7)楼层电灯按时开关，节约用电和节约用水。</w:t>
            </w:r>
          </w:p>
          <w:p>
            <w:pPr>
              <w:pStyle w:val="4"/>
              <w:spacing w:before="105" w:after="105"/>
              <w:jc w:val="both"/>
            </w:pPr>
            <w:r>
              <w:rPr>
                <w:rFonts w:ascii="仿宋_GB2312" w:hAnsi="仿宋_GB2312" w:eastAsia="仿宋_GB2312" w:cs="仿宋_GB2312"/>
                <w:sz w:val="21"/>
              </w:rPr>
              <w:t>8）学生宿舍管理工作所需工具、设备、耗材、材料由采购人提供。</w:t>
            </w:r>
          </w:p>
          <w:p>
            <w:pPr>
              <w:pStyle w:val="4"/>
              <w:spacing w:before="105" w:after="105"/>
              <w:jc w:val="both"/>
            </w:pPr>
            <w:r>
              <w:rPr>
                <w:rFonts w:ascii="仿宋_GB2312" w:hAnsi="仿宋_GB2312" w:eastAsia="仿宋_GB2312" w:cs="仿宋_GB2312"/>
                <w:sz w:val="21"/>
              </w:rPr>
              <w:t>3、校园卫生与保洁</w:t>
            </w:r>
          </w:p>
          <w:p>
            <w:pPr>
              <w:pStyle w:val="4"/>
              <w:spacing w:before="105" w:after="105"/>
              <w:jc w:val="both"/>
            </w:pPr>
            <w:r>
              <w:rPr>
                <w:rFonts w:ascii="仿宋_GB2312" w:hAnsi="仿宋_GB2312" w:eastAsia="仿宋_GB2312" w:cs="仿宋_GB2312"/>
                <w:sz w:val="21"/>
              </w:rPr>
              <w:t>（1）保洁服务内容：</w:t>
            </w:r>
          </w:p>
          <w:p>
            <w:pPr>
              <w:pStyle w:val="4"/>
              <w:spacing w:before="105" w:after="105"/>
              <w:jc w:val="both"/>
            </w:pPr>
            <w:r>
              <w:rPr>
                <w:rFonts w:ascii="仿宋_GB2312" w:hAnsi="仿宋_GB2312" w:eastAsia="仿宋_GB2312" w:cs="仿宋_GB2312"/>
                <w:sz w:val="21"/>
              </w:rPr>
              <w:t>1)负责校园公共环境卫生的保洁、垃圾收集、清运工作。</w:t>
            </w:r>
          </w:p>
          <w:p>
            <w:pPr>
              <w:pStyle w:val="4"/>
              <w:spacing w:before="105" w:after="105"/>
              <w:jc w:val="both"/>
            </w:pPr>
            <w:r>
              <w:rPr>
                <w:rFonts w:ascii="仿宋_GB2312" w:hAnsi="仿宋_GB2312" w:eastAsia="仿宋_GB2312" w:cs="仿宋_GB2312"/>
                <w:sz w:val="21"/>
              </w:rPr>
              <w:t>2）实行卫生保洁制，严格执行清洁工作标准加强保洁巡视，发现问题及时处理。</w:t>
            </w:r>
          </w:p>
          <w:p>
            <w:pPr>
              <w:pStyle w:val="4"/>
              <w:spacing w:before="105" w:after="105"/>
              <w:jc w:val="both"/>
            </w:pPr>
            <w:r>
              <w:rPr>
                <w:rFonts w:ascii="仿宋_GB2312" w:hAnsi="仿宋_GB2312" w:eastAsia="仿宋_GB2312" w:cs="仿宋_GB2312"/>
                <w:sz w:val="21"/>
              </w:rPr>
              <w:t>3）学校安排的临时工作。</w:t>
            </w:r>
          </w:p>
          <w:p>
            <w:pPr>
              <w:pStyle w:val="4"/>
              <w:spacing w:before="105" w:after="105"/>
              <w:jc w:val="both"/>
            </w:pPr>
            <w:r>
              <w:rPr>
                <w:rFonts w:ascii="仿宋_GB2312" w:hAnsi="仿宋_GB2312" w:eastAsia="仿宋_GB2312" w:cs="仿宋_GB2312"/>
                <w:sz w:val="21"/>
              </w:rPr>
              <w:t>（2）工作标准（工作日期间）</w:t>
            </w:r>
          </w:p>
          <w:p>
            <w:pPr>
              <w:pStyle w:val="4"/>
              <w:spacing w:before="105" w:after="105"/>
              <w:jc w:val="both"/>
            </w:pPr>
            <w:r>
              <w:rPr>
                <w:rFonts w:ascii="仿宋_GB2312" w:hAnsi="仿宋_GB2312" w:eastAsia="仿宋_GB2312" w:cs="仿宋_GB2312"/>
                <w:sz w:val="21"/>
              </w:rPr>
              <w:t>1）负责按规范做好项目保洁服务工作，负责注意所划分工作区域内的各种异常情况，及时处理或上报。</w:t>
            </w:r>
          </w:p>
          <w:p>
            <w:pPr>
              <w:pStyle w:val="4"/>
              <w:spacing w:before="105" w:after="105"/>
              <w:jc w:val="both"/>
            </w:pPr>
            <w:r>
              <w:rPr>
                <w:rFonts w:ascii="仿宋_GB2312" w:hAnsi="仿宋_GB2312" w:eastAsia="仿宋_GB2312" w:cs="仿宋_GB2312"/>
                <w:sz w:val="21"/>
              </w:rPr>
              <w:t>2)教学楼外围操场每日清扫保洁2次，做好巡回保洁，确保无杂物、无白色垃圾、无明显污迹；雨后及时做好室外运动场地面以及运动设施的清洗工作，确保无泥水残留。</w:t>
            </w:r>
          </w:p>
          <w:p>
            <w:pPr>
              <w:pStyle w:val="4"/>
              <w:spacing w:before="105" w:after="105"/>
              <w:jc w:val="both"/>
            </w:pPr>
            <w:r>
              <w:rPr>
                <w:rFonts w:ascii="仿宋_GB2312" w:hAnsi="仿宋_GB2312" w:eastAsia="仿宋_GB2312" w:cs="仿宋_GB2312"/>
                <w:sz w:val="21"/>
              </w:rPr>
              <w:t>3)综合办公楼过道：每天进行清扫，拖洗1次，保持地面无烟头、果皮、纸屑等垃圾，无积水。</w:t>
            </w:r>
          </w:p>
          <w:p>
            <w:pPr>
              <w:pStyle w:val="4"/>
              <w:spacing w:before="105" w:after="105"/>
              <w:jc w:val="both"/>
            </w:pPr>
            <w:r>
              <w:rPr>
                <w:rFonts w:ascii="仿宋_GB2312" w:hAnsi="仿宋_GB2312" w:eastAsia="仿宋_GB2312" w:cs="仿宋_GB2312"/>
                <w:sz w:val="21"/>
              </w:rPr>
              <w:t>4）楼梯、扶手：每日擦拭，梯级每日清扫，保持整洁，无污迹、纸屑、垃圾、杂物、无水渍。</w:t>
            </w:r>
          </w:p>
          <w:p>
            <w:pPr>
              <w:pStyle w:val="4"/>
              <w:spacing w:before="105" w:after="105"/>
              <w:jc w:val="both"/>
            </w:pPr>
            <w:r>
              <w:rPr>
                <w:rFonts w:ascii="仿宋_GB2312" w:hAnsi="仿宋_GB2312" w:eastAsia="仿宋_GB2312" w:cs="仿宋_GB2312"/>
                <w:sz w:val="21"/>
              </w:rPr>
              <w:t>5）垃圾桶：垃圾桶内的垃圾每日清理，保持垃圾箱、桶内垃圾不超过2/3，垃圾不堆积、不漫延，垃圾收集后及时更换垃圾袋，垃圾日产日清，不得积存垃圾过夜，垃圾桶（箱）每周清洗二次，确保垃圾桶表面无灰尘、无油污，保持外观整洁。</w:t>
            </w:r>
          </w:p>
          <w:p>
            <w:pPr>
              <w:pStyle w:val="4"/>
              <w:spacing w:before="105" w:after="105"/>
              <w:jc w:val="both"/>
            </w:pPr>
            <w:r>
              <w:rPr>
                <w:rFonts w:ascii="仿宋_GB2312" w:hAnsi="仿宋_GB2312" w:eastAsia="仿宋_GB2312" w:cs="仿宋_GB2312"/>
                <w:sz w:val="21"/>
              </w:rPr>
              <w:t>6）卫生间地面、大小便器:每天必须彻底冲刷，除掉一切污渍，卫生间每半小时至少打扫1次；洗手台面、镜面每20分钟清洁一次，厕所内无异味，蹲位地面无散落垃圾，手可接触的范围无灰尘，便池无堆积物，蹲位地面无明显积水，清洁洗手间工具材料应专用，清洁完毕，清洁工具应清洗干净。</w:t>
            </w:r>
          </w:p>
          <w:p>
            <w:pPr>
              <w:pStyle w:val="4"/>
              <w:spacing w:before="105" w:after="105"/>
              <w:jc w:val="both"/>
            </w:pPr>
            <w:r>
              <w:rPr>
                <w:rFonts w:ascii="仿宋_GB2312" w:hAnsi="仿宋_GB2312" w:eastAsia="仿宋_GB2312" w:cs="仿宋_GB2312"/>
                <w:sz w:val="21"/>
              </w:rPr>
              <w:t>7）教学楼等大厅地面：每日清扫 1 次，做好巡回保洁，确保厅内无杂物、无白色垃圾、无明显污渍，无积尘、无蛛网；地面每日拖洗 1 次，拖洗后地面无水印，无卫生死角；各种活动前后必须打扫干净，日常保持清洁可用。大厅天花板高度超过 2 米，需持有高处作业证人员，每季度打扫 2 次，保障大厅整体干净、无蛛网。</w:t>
            </w:r>
          </w:p>
          <w:p>
            <w:pPr>
              <w:pStyle w:val="4"/>
              <w:spacing w:before="105" w:after="105"/>
              <w:jc w:val="both"/>
            </w:pPr>
            <w:r>
              <w:rPr>
                <w:rFonts w:ascii="仿宋_GB2312" w:hAnsi="仿宋_GB2312" w:eastAsia="仿宋_GB2312" w:cs="仿宋_GB2312"/>
                <w:sz w:val="21"/>
              </w:rPr>
              <w:t>8）负责建筑区划内消毒工作，每周至少一次（应急时根据需要增加次数）；对校园公共区域、教室、厕所等进行消毒，垃圾中转站、垃圾收集容器至少每日消毒二次，消毒费用单独计入报价。尤其是突发疫情特殊时期，应每天对校园内进行全面消毒处理。</w:t>
            </w:r>
          </w:p>
          <w:p>
            <w:pPr>
              <w:pStyle w:val="4"/>
              <w:spacing w:before="105" w:after="105"/>
              <w:jc w:val="both"/>
            </w:pPr>
            <w:r>
              <w:rPr>
                <w:rFonts w:ascii="仿宋_GB2312" w:hAnsi="仿宋_GB2312" w:eastAsia="仿宋_GB2312" w:cs="仿宋_GB2312"/>
                <w:sz w:val="21"/>
              </w:rPr>
              <w:t>9）公共墙面：无灰尘、蛛网。</w:t>
            </w:r>
          </w:p>
          <w:p>
            <w:pPr>
              <w:pStyle w:val="4"/>
              <w:spacing w:before="105" w:after="105"/>
              <w:jc w:val="both"/>
            </w:pPr>
            <w:r>
              <w:rPr>
                <w:rFonts w:ascii="仿宋_GB2312" w:hAnsi="仿宋_GB2312" w:eastAsia="仿宋_GB2312" w:cs="仿宋_GB2312"/>
                <w:sz w:val="21"/>
              </w:rPr>
              <w:t>10）消火栓、电柜、管线等：每周擦拭2次，保持洁净，无灰尘、蛛网。</w:t>
            </w:r>
          </w:p>
          <w:p>
            <w:pPr>
              <w:pStyle w:val="4"/>
              <w:spacing w:before="105" w:after="105"/>
              <w:jc w:val="both"/>
            </w:pPr>
            <w:r>
              <w:rPr>
                <w:rFonts w:ascii="仿宋_GB2312" w:hAnsi="仿宋_GB2312" w:eastAsia="仿宋_GB2312" w:cs="仿宋_GB2312"/>
                <w:sz w:val="21"/>
              </w:rPr>
              <w:t>11）指示牌、宣传栏：每周擦拭2次，保持洁净，无灰尘、无蛛网、无破损。</w:t>
            </w:r>
          </w:p>
          <w:p>
            <w:pPr>
              <w:pStyle w:val="4"/>
              <w:spacing w:before="105" w:after="105"/>
              <w:jc w:val="both"/>
            </w:pPr>
            <w:r>
              <w:rPr>
                <w:rFonts w:ascii="仿宋_GB2312" w:hAnsi="仿宋_GB2312" w:eastAsia="仿宋_GB2312" w:cs="仿宋_GB2312"/>
                <w:sz w:val="21"/>
              </w:rPr>
              <w:t>12）不锈钢门框，扶手每周彻底清洁保养一次，随时清洁污染处：亚光不锈钢表面无污迹，无灰尘；镜面不锈钢表面光亮。</w:t>
            </w:r>
          </w:p>
          <w:p>
            <w:pPr>
              <w:pStyle w:val="4"/>
              <w:spacing w:before="105" w:after="105"/>
              <w:jc w:val="both"/>
            </w:pPr>
            <w:r>
              <w:rPr>
                <w:rFonts w:ascii="仿宋_GB2312" w:hAnsi="仿宋_GB2312" w:eastAsia="仿宋_GB2312" w:cs="仿宋_GB2312"/>
                <w:sz w:val="21"/>
              </w:rPr>
              <w:t>13）天台、屋面每季度清扫一次：雨季期间，每半月清扫一次天台、屋面；每月巡查一次天台、内天井，有杂物及时清扫。</w:t>
            </w:r>
          </w:p>
          <w:p>
            <w:pPr>
              <w:pStyle w:val="4"/>
              <w:spacing w:before="105" w:after="105"/>
              <w:jc w:val="both"/>
            </w:pPr>
            <w:r>
              <w:rPr>
                <w:rFonts w:ascii="仿宋_GB2312" w:hAnsi="仿宋_GB2312" w:eastAsia="仿宋_GB2312" w:cs="仿宋_GB2312"/>
                <w:sz w:val="21"/>
              </w:rPr>
              <w:t>14）投标人应定期进行灭鼠、灭蟑四害消杀工作，在消杀使用的毒饵、药剂符合安全环保要求应妥善保管。在投标文件中提供消杀物资使用方法、名称、数量及安全防护措施，投放药物应预先告知，投药位置有明显标识，施放、回收均有记录。在消杀过程中注意做好个人防护。</w:t>
            </w:r>
          </w:p>
          <w:p>
            <w:pPr>
              <w:pStyle w:val="4"/>
              <w:spacing w:before="105" w:after="105"/>
              <w:jc w:val="both"/>
            </w:pPr>
            <w:r>
              <w:rPr>
                <w:rFonts w:ascii="仿宋_GB2312" w:hAnsi="仿宋_GB2312" w:eastAsia="仿宋_GB2312" w:cs="仿宋_GB2312"/>
                <w:sz w:val="21"/>
              </w:rPr>
              <w:t>15）学校工作日上班时间上午8:00-12:00下午13:30-17:30，负责统一收集、清运垃圾桶内垃圾。法定节假日正常休息，周末休息日值班可安排调休。</w:t>
            </w:r>
          </w:p>
          <w:p>
            <w:pPr>
              <w:pStyle w:val="4"/>
              <w:spacing w:before="105" w:after="105"/>
              <w:jc w:val="both"/>
            </w:pPr>
            <w:r>
              <w:rPr>
                <w:rFonts w:ascii="仿宋_GB2312" w:hAnsi="仿宋_GB2312" w:eastAsia="仿宋_GB2312" w:cs="仿宋_GB2312"/>
                <w:sz w:val="21"/>
              </w:rPr>
              <w:t>16）严格贯彻执行环境管理各项制度，做好环境维护工作，按照学校对环境的要求，完善环境管理制度。</w:t>
            </w:r>
          </w:p>
          <w:p>
            <w:pPr>
              <w:pStyle w:val="4"/>
              <w:spacing w:before="105" w:after="105"/>
              <w:jc w:val="both"/>
            </w:pPr>
            <w:r>
              <w:rPr>
                <w:rFonts w:ascii="仿宋_GB2312" w:hAnsi="仿宋_GB2312" w:eastAsia="仿宋_GB2312" w:cs="仿宋_GB2312"/>
                <w:sz w:val="21"/>
              </w:rPr>
              <w:t>4、学校水电管理与维护</w:t>
            </w:r>
          </w:p>
          <w:p>
            <w:pPr>
              <w:pStyle w:val="4"/>
              <w:spacing w:before="105" w:after="105"/>
              <w:jc w:val="both"/>
            </w:pPr>
            <w:r>
              <w:rPr>
                <w:rFonts w:ascii="仿宋_GB2312" w:hAnsi="仿宋_GB2312" w:eastAsia="仿宋_GB2312" w:cs="仿宋_GB2312"/>
                <w:sz w:val="21"/>
              </w:rPr>
              <w:t>（1）水电管理与维护服务内容</w:t>
            </w:r>
          </w:p>
          <w:p>
            <w:pPr>
              <w:pStyle w:val="4"/>
              <w:spacing w:before="105" w:after="105"/>
              <w:jc w:val="both"/>
            </w:pPr>
            <w:r>
              <w:rPr>
                <w:rFonts w:ascii="仿宋_GB2312" w:hAnsi="仿宋_GB2312" w:eastAsia="仿宋_GB2312" w:cs="仿宋_GB2312"/>
                <w:sz w:val="21"/>
              </w:rPr>
              <w:t>1）负责校园水电日常安装与维护工作。</w:t>
            </w:r>
          </w:p>
          <w:p>
            <w:pPr>
              <w:pStyle w:val="4"/>
              <w:spacing w:before="105" w:after="105"/>
              <w:jc w:val="both"/>
            </w:pPr>
            <w:r>
              <w:rPr>
                <w:rFonts w:ascii="仿宋_GB2312" w:hAnsi="仿宋_GB2312" w:eastAsia="仿宋_GB2312" w:cs="仿宋_GB2312"/>
                <w:sz w:val="21"/>
              </w:rPr>
              <w:t>2）加强巡逻，发现问题及时处理。</w:t>
            </w:r>
          </w:p>
          <w:p>
            <w:pPr>
              <w:pStyle w:val="4"/>
              <w:spacing w:before="105" w:after="105"/>
              <w:jc w:val="both"/>
            </w:pPr>
            <w:r>
              <w:rPr>
                <w:rFonts w:ascii="仿宋_GB2312" w:hAnsi="仿宋_GB2312" w:eastAsia="仿宋_GB2312" w:cs="仿宋_GB2312"/>
                <w:sz w:val="21"/>
              </w:rPr>
              <w:t>3）学校安排的临时工作。</w:t>
            </w:r>
          </w:p>
          <w:p>
            <w:pPr>
              <w:pStyle w:val="4"/>
              <w:spacing w:before="105" w:after="105"/>
              <w:jc w:val="both"/>
            </w:pPr>
            <w:r>
              <w:rPr>
                <w:rFonts w:ascii="仿宋_GB2312" w:hAnsi="仿宋_GB2312" w:eastAsia="仿宋_GB2312" w:cs="仿宋_GB2312"/>
                <w:sz w:val="21"/>
              </w:rPr>
              <w:t>（2）工作标准</w:t>
            </w:r>
          </w:p>
          <w:p>
            <w:pPr>
              <w:pStyle w:val="4"/>
              <w:spacing w:before="105" w:after="105"/>
              <w:jc w:val="both"/>
            </w:pPr>
            <w:r>
              <w:rPr>
                <w:rFonts w:ascii="仿宋_GB2312" w:hAnsi="仿宋_GB2312" w:eastAsia="仿宋_GB2312" w:cs="仿宋_GB2312"/>
                <w:sz w:val="21"/>
              </w:rPr>
              <w:t>1）身体健康，无不良嗜好、无妨碍从事本职工作的病症和生理缺陷。</w:t>
            </w:r>
          </w:p>
          <w:p>
            <w:pPr>
              <w:pStyle w:val="4"/>
              <w:spacing w:before="105" w:after="105"/>
              <w:jc w:val="both"/>
            </w:pPr>
            <w:r>
              <w:rPr>
                <w:rFonts w:ascii="仿宋_GB2312" w:hAnsi="仿宋_GB2312" w:eastAsia="仿宋_GB2312" w:cs="仿宋_GB2312"/>
                <w:sz w:val="21"/>
              </w:rPr>
              <w:t>2）热爱本职工作，树立全心全意为师生服务的思想，态度和蔼，随叫随到，修理及时。</w:t>
            </w:r>
          </w:p>
          <w:p>
            <w:pPr>
              <w:pStyle w:val="4"/>
              <w:spacing w:before="105" w:after="105"/>
              <w:jc w:val="both"/>
            </w:pPr>
            <w:r>
              <w:rPr>
                <w:rFonts w:ascii="仿宋_GB2312" w:hAnsi="仿宋_GB2312" w:eastAsia="仿宋_GB2312" w:cs="仿宋_GB2312"/>
                <w:sz w:val="21"/>
              </w:rPr>
              <w:t>3）负责全校的电源、线路、水路、开关、照明、灯具、风扇等全面检查和维修工作。各楼道及室外公共照明的完好率达到98％以上，杂工负责水电工以外的其它维修的工作。</w:t>
            </w:r>
          </w:p>
          <w:p>
            <w:pPr>
              <w:pStyle w:val="4"/>
              <w:spacing w:before="105" w:after="105"/>
              <w:jc w:val="both"/>
            </w:pPr>
            <w:r>
              <w:rPr>
                <w:rFonts w:ascii="仿宋_GB2312" w:hAnsi="仿宋_GB2312" w:eastAsia="仿宋_GB2312" w:cs="仿宋_GB2312"/>
                <w:sz w:val="21"/>
              </w:rPr>
              <w:t>4）对校区内各日常设备进行巡检，发现问题，及时维修，确保日常正常用电。法定节假日、周末休息日正常休息，保持电话通畅，遇突发维修事件15分钟内到达现场并进行维修。</w:t>
            </w:r>
          </w:p>
          <w:p>
            <w:pPr>
              <w:pStyle w:val="4"/>
              <w:spacing w:before="105" w:after="105"/>
              <w:jc w:val="both"/>
            </w:pPr>
            <w:r>
              <w:rPr>
                <w:rFonts w:ascii="仿宋_GB2312" w:hAnsi="仿宋_GB2312" w:eastAsia="仿宋_GB2312" w:cs="仿宋_GB2312"/>
                <w:sz w:val="21"/>
              </w:rPr>
              <w:t>5）确保正常供水，对浴室内各种设施应及时检修，杜绝发生事故。</w:t>
            </w:r>
          </w:p>
          <w:p>
            <w:pPr>
              <w:pStyle w:val="4"/>
              <w:spacing w:before="105" w:after="105"/>
              <w:jc w:val="both"/>
            </w:pPr>
            <w:r>
              <w:rPr>
                <w:rFonts w:ascii="仿宋_GB2312" w:hAnsi="仿宋_GB2312" w:eastAsia="仿宋_GB2312" w:cs="仿宋_GB2312"/>
                <w:sz w:val="21"/>
              </w:rPr>
              <w:t>6）认真做好巡查，采取有效措施，杜绝长明灯、长流水和跑、冒、滴漏现象。并建立好全校的用水、用电账目。</w:t>
            </w:r>
          </w:p>
          <w:p>
            <w:pPr>
              <w:pStyle w:val="4"/>
              <w:spacing w:before="105" w:after="105"/>
              <w:jc w:val="both"/>
            </w:pPr>
            <w:r>
              <w:rPr>
                <w:rFonts w:ascii="仿宋_GB2312" w:hAnsi="仿宋_GB2312" w:eastAsia="仿宋_GB2312" w:cs="仿宋_GB2312"/>
                <w:sz w:val="21"/>
              </w:rPr>
              <w:t>7）水电工只对业主单位的设施设备进行日常维护、保养和更换，而更换的材料由业主单位购买。</w:t>
            </w:r>
          </w:p>
          <w:p>
            <w:pPr>
              <w:pStyle w:val="4"/>
              <w:spacing w:before="105" w:after="105"/>
              <w:jc w:val="both"/>
            </w:pPr>
            <w:r>
              <w:rPr>
                <w:rFonts w:ascii="仿宋_GB2312" w:hAnsi="仿宋_GB2312" w:eastAsia="仿宋_GB2312" w:cs="仿宋_GB2312"/>
                <w:sz w:val="21"/>
              </w:rPr>
              <w:t>8）做好管理区域内各种消防设施设备（含灭火器、消防栓、水带的定期检查）的正常有效运转。</w:t>
            </w:r>
          </w:p>
          <w:p>
            <w:pPr>
              <w:pStyle w:val="4"/>
              <w:spacing w:before="105" w:after="105"/>
              <w:jc w:val="both"/>
            </w:pPr>
            <w:r>
              <w:rPr>
                <w:rFonts w:ascii="仿宋_GB2312" w:hAnsi="仿宋_GB2312" w:eastAsia="仿宋_GB2312" w:cs="仿宋_GB2312"/>
                <w:sz w:val="21"/>
              </w:rPr>
              <w:t>9）定期组织设施设备维护员的业务技能培训、培训效果检验及操作安全培训，熟悉服务范围内各项设施设备状况、操作方法和安全注意事项。</w:t>
            </w:r>
          </w:p>
          <w:p>
            <w:pPr>
              <w:pStyle w:val="4"/>
              <w:spacing w:before="105" w:after="105"/>
              <w:jc w:val="both"/>
            </w:pPr>
            <w:r>
              <w:rPr>
                <w:rFonts w:ascii="仿宋_GB2312" w:hAnsi="仿宋_GB2312" w:eastAsia="仿宋_GB2312" w:cs="仿宋_GB2312"/>
                <w:sz w:val="21"/>
              </w:rPr>
              <w:t>10）容易危及人身安全的设施设备有明显警示标志和防范措施，对可能发生的各种突发设备故障有应急方案。配置并在适当时使用“维修进行中”、“小心地滑”等临时性服务状态标识。各类标识的格式统一、文字规范。悬挂（摆放）应安全、正规、醒目。【说明：投标人须针对本条提供承诺函并将本项目需要的临时性服务状态标识费用计入分项明细报价，报价不少于1000元】</w:t>
            </w:r>
          </w:p>
          <w:p>
            <w:pPr>
              <w:pStyle w:val="4"/>
              <w:spacing w:before="105" w:after="105"/>
              <w:jc w:val="both"/>
            </w:pPr>
            <w:r>
              <w:rPr>
                <w:rFonts w:ascii="仿宋_GB2312" w:hAnsi="仿宋_GB2312" w:eastAsia="仿宋_GB2312" w:cs="仿宋_GB2312"/>
                <w:sz w:val="21"/>
              </w:rPr>
              <w:t>11）服务维修态度100%，维修回访率100%，服务主动意识100%。</w:t>
            </w:r>
          </w:p>
          <w:p>
            <w:pPr>
              <w:pStyle w:val="4"/>
              <w:spacing w:before="105" w:after="105"/>
              <w:jc w:val="both"/>
            </w:pPr>
            <w:r>
              <w:rPr>
                <w:rFonts w:ascii="仿宋_GB2312" w:hAnsi="仿宋_GB2312" w:eastAsia="仿宋_GB2312" w:cs="仿宋_GB2312"/>
                <w:sz w:val="21"/>
              </w:rPr>
              <w:t>12）维修工作人员在学校报修后15分钟内应赶到现场，了解情况并及时处理问题；对暂时不能处理的问题，应作出说明；维修服务满意率≥98%、维修合格率≥98%、维修及时率≥98%、维修返工率≤1%、维修返工记录与维修返工投诉≤1%。</w:t>
            </w:r>
          </w:p>
          <w:p>
            <w:pPr>
              <w:pStyle w:val="4"/>
              <w:spacing w:before="105" w:after="105"/>
              <w:jc w:val="both"/>
            </w:pPr>
            <w:r>
              <w:rPr>
                <w:rFonts w:ascii="仿宋_GB2312" w:hAnsi="仿宋_GB2312" w:eastAsia="仿宋_GB2312" w:cs="仿宋_GB2312"/>
                <w:sz w:val="21"/>
              </w:rPr>
              <w:t>13）做好校内水电设施设备的日常检查工作，若发现问题及时上报，能维修及时维修。</w:t>
            </w:r>
          </w:p>
          <w:p>
            <w:pPr>
              <w:pStyle w:val="4"/>
              <w:spacing w:before="105" w:after="105"/>
              <w:jc w:val="both"/>
            </w:pPr>
            <w:r>
              <w:rPr>
                <w:rFonts w:ascii="仿宋_GB2312" w:hAnsi="仿宋_GB2312" w:eastAsia="仿宋_GB2312" w:cs="仿宋_GB2312"/>
                <w:sz w:val="21"/>
              </w:rPr>
              <w:t>①每年汛前和强降雨后检查屋面防水和雨落管等。</w:t>
            </w:r>
          </w:p>
          <w:p>
            <w:pPr>
              <w:pStyle w:val="4"/>
              <w:spacing w:before="105" w:after="105"/>
              <w:jc w:val="both"/>
            </w:pPr>
            <w:r>
              <w:rPr>
                <w:rFonts w:ascii="仿宋_GB2312" w:hAnsi="仿宋_GB2312" w:eastAsia="仿宋_GB2312" w:cs="仿宋_GB2312"/>
                <w:sz w:val="21"/>
              </w:rPr>
              <w:t>②每半月巡查1次道路、场地、阶梯及扶手、侧石、管井、沟渠等；每半月检查 1 次雨、污水管井等；每半月巡查 1 次大门、围墙、围栏等。</w:t>
            </w:r>
          </w:p>
          <w:p>
            <w:pPr>
              <w:pStyle w:val="4"/>
              <w:spacing w:before="105" w:after="105"/>
              <w:jc w:val="both"/>
            </w:pPr>
            <w:r>
              <w:rPr>
                <w:rFonts w:ascii="仿宋_GB2312" w:hAnsi="仿宋_GB2312" w:eastAsia="仿宋_GB2312" w:cs="仿宋_GB2312"/>
                <w:sz w:val="21"/>
              </w:rPr>
              <w:t>③每周巡检 1 次供水设施，发现跑冒滴漏现象及时解决；检查设备运行状况。</w:t>
            </w:r>
          </w:p>
          <w:p>
            <w:pPr>
              <w:pStyle w:val="4"/>
              <w:spacing w:before="105" w:after="105"/>
              <w:jc w:val="both"/>
            </w:pPr>
            <w:r>
              <w:rPr>
                <w:rFonts w:ascii="仿宋_GB2312" w:hAnsi="仿宋_GB2312" w:eastAsia="仿宋_GB2312" w:cs="仿宋_GB2312"/>
                <w:sz w:val="21"/>
              </w:rPr>
              <w:t>④根据学校防汛预案，每年至少组织2 次演练；建立防汛物资清单（沙袋、防风胶纸、雨具、照明工具、发电机、抽水泵等，防汛物资由采购人提供）；排水设施：每年汛前对雨、污水井、屋面雨水口等设施进行检查。每次降雨前后对主要排水口、管井进行检查；污水泵：每周进行 1 次手动启动测试，每季度养护 1 次。</w:t>
            </w:r>
          </w:p>
          <w:p>
            <w:pPr>
              <w:pStyle w:val="4"/>
              <w:spacing w:before="105" w:after="105"/>
              <w:jc w:val="both"/>
            </w:pPr>
            <w:r>
              <w:rPr>
                <w:rFonts w:ascii="仿宋_GB2312" w:hAnsi="仿宋_GB2312" w:eastAsia="仿宋_GB2312" w:cs="仿宋_GB2312"/>
                <w:sz w:val="21"/>
              </w:rPr>
              <w:t>⑤楼内照明：工作日每日巡视 1 次，一般故障 1 日内修复；其他复杂故障 3日内修复。楼外照明：每周巡视 3 次，一般故障 1 日内修复；其他复杂故障 5日内修复。每半年调整 1 次时间控制器。应急照明：每周巡视 1 次，发现故障，15分钟内到达现场组织维修。低压柜：每月检查 2 次设备运行状况；每年养护 1 次，养护内容包括紧固、调试、清扫。低压配电箱和线路：每月检查 2 次设备运行状况；每年养护 1 次，养护内容包括紧固、调试、清扫。</w:t>
            </w:r>
          </w:p>
          <w:p>
            <w:pPr>
              <w:pStyle w:val="4"/>
              <w:spacing w:before="105" w:after="105"/>
              <w:jc w:val="both"/>
            </w:pPr>
            <w:r>
              <w:rPr>
                <w:rFonts w:ascii="仿宋_GB2312" w:hAnsi="仿宋_GB2312" w:eastAsia="仿宋_GB2312" w:cs="仿宋_GB2312"/>
                <w:sz w:val="21"/>
              </w:rPr>
              <w:t>14）设备机房每周清洁2次，保持整洁有序，室内无杂物。</w:t>
            </w:r>
          </w:p>
          <w:p>
            <w:pPr>
              <w:pStyle w:val="4"/>
              <w:spacing w:before="105" w:after="105"/>
              <w:jc w:val="both"/>
            </w:pPr>
            <w:r>
              <w:rPr>
                <w:rFonts w:ascii="仿宋_GB2312" w:hAnsi="仿宋_GB2312" w:eastAsia="仿宋_GB2312" w:cs="仿宋_GB2312"/>
                <w:sz w:val="21"/>
              </w:rPr>
              <w:t>15）学校工作日期间每天工作时间8小时，法定节假日正常休息，休息日值班可安排调休。</w:t>
            </w:r>
          </w:p>
          <w:p>
            <w:pPr>
              <w:pStyle w:val="4"/>
              <w:spacing w:before="105" w:after="105"/>
              <w:jc w:val="both"/>
            </w:pPr>
            <w:r>
              <w:rPr>
                <w:rFonts w:ascii="仿宋_GB2312" w:hAnsi="仿宋_GB2312" w:eastAsia="仿宋_GB2312" w:cs="仿宋_GB2312"/>
                <w:sz w:val="21"/>
              </w:rPr>
              <w:t>16）积极主动应对各项突发维修事情，完成上级领导安排的临时工作任务。</w:t>
            </w:r>
          </w:p>
          <w:p>
            <w:pPr>
              <w:pStyle w:val="4"/>
              <w:spacing w:before="105" w:after="105"/>
              <w:jc w:val="both"/>
            </w:pPr>
            <w:r>
              <w:rPr>
                <w:rFonts w:ascii="仿宋_GB2312" w:hAnsi="仿宋_GB2312" w:eastAsia="仿宋_GB2312" w:cs="仿宋_GB2312"/>
                <w:sz w:val="21"/>
              </w:rPr>
              <w:t>5、学校杂务管理与维护</w:t>
            </w:r>
          </w:p>
          <w:p>
            <w:pPr>
              <w:pStyle w:val="4"/>
              <w:spacing w:before="105" w:after="105"/>
              <w:jc w:val="both"/>
            </w:pPr>
            <w:r>
              <w:rPr>
                <w:rFonts w:ascii="仿宋_GB2312" w:hAnsi="仿宋_GB2312" w:eastAsia="仿宋_GB2312" w:cs="仿宋_GB2312"/>
                <w:sz w:val="21"/>
              </w:rPr>
              <w:t>（1）服务内容</w:t>
            </w:r>
          </w:p>
          <w:p>
            <w:pPr>
              <w:pStyle w:val="4"/>
              <w:spacing w:before="105" w:after="105"/>
              <w:jc w:val="both"/>
            </w:pPr>
            <w:r>
              <w:rPr>
                <w:rFonts w:ascii="仿宋_GB2312" w:hAnsi="仿宋_GB2312" w:eastAsia="仿宋_GB2312" w:cs="仿宋_GB2312"/>
                <w:sz w:val="21"/>
              </w:rPr>
              <w:t>1）负责校园日常维修（水电工以外的其它维修的工作），维修耗材采购人负责。</w:t>
            </w:r>
          </w:p>
          <w:p>
            <w:pPr>
              <w:pStyle w:val="4"/>
              <w:spacing w:before="105" w:after="105"/>
              <w:jc w:val="both"/>
            </w:pPr>
            <w:r>
              <w:rPr>
                <w:rFonts w:ascii="仿宋_GB2312" w:hAnsi="仿宋_GB2312" w:eastAsia="仿宋_GB2312" w:cs="仿宋_GB2312"/>
                <w:sz w:val="21"/>
              </w:rPr>
              <w:t>2）学校安排的临时工作。</w:t>
            </w:r>
          </w:p>
          <w:p>
            <w:pPr>
              <w:pStyle w:val="4"/>
              <w:spacing w:before="105" w:after="105"/>
              <w:jc w:val="both"/>
            </w:pPr>
            <w:r>
              <w:rPr>
                <w:rFonts w:ascii="仿宋_GB2312" w:hAnsi="仿宋_GB2312" w:eastAsia="仿宋_GB2312" w:cs="仿宋_GB2312"/>
                <w:sz w:val="21"/>
              </w:rPr>
              <w:t>（2）工作要求</w:t>
            </w:r>
          </w:p>
          <w:p>
            <w:pPr>
              <w:pStyle w:val="4"/>
              <w:spacing w:before="105" w:after="105"/>
              <w:jc w:val="both"/>
            </w:pPr>
            <w:r>
              <w:rPr>
                <w:rFonts w:ascii="仿宋_GB2312" w:hAnsi="仿宋_GB2312" w:eastAsia="仿宋_GB2312" w:cs="仿宋_GB2312"/>
                <w:sz w:val="21"/>
              </w:rPr>
              <w:t>1）无犯罪记录，热爱学校，工作热心，任劳任怨。</w:t>
            </w:r>
          </w:p>
          <w:p>
            <w:pPr>
              <w:pStyle w:val="4"/>
              <w:spacing w:before="105" w:after="105"/>
              <w:jc w:val="both"/>
            </w:pPr>
            <w:r>
              <w:rPr>
                <w:rFonts w:ascii="仿宋_GB2312" w:hAnsi="仿宋_GB2312" w:eastAsia="仿宋_GB2312" w:cs="仿宋_GB2312"/>
                <w:sz w:val="21"/>
              </w:rPr>
              <w:t>2）服从管理，服从工作分配，不与师生争吵，责任心强。</w:t>
            </w:r>
          </w:p>
          <w:p>
            <w:pPr>
              <w:pStyle w:val="4"/>
              <w:spacing w:before="105" w:after="105"/>
              <w:jc w:val="both"/>
            </w:pPr>
            <w:r>
              <w:rPr>
                <w:rFonts w:ascii="仿宋_GB2312" w:hAnsi="仿宋_GB2312" w:eastAsia="仿宋_GB2312" w:cs="仿宋_GB2312"/>
                <w:sz w:val="21"/>
              </w:rPr>
              <w:t>3）有一定的水电设施设备维修技能，必要时协助水电工进行常规的水电维修。</w:t>
            </w:r>
          </w:p>
          <w:p>
            <w:pPr>
              <w:pStyle w:val="4"/>
              <w:spacing w:before="105" w:after="105"/>
              <w:jc w:val="both"/>
            </w:pPr>
            <w:r>
              <w:rPr>
                <w:rFonts w:ascii="仿宋_GB2312" w:hAnsi="仿宋_GB2312" w:eastAsia="仿宋_GB2312" w:cs="仿宋_GB2312"/>
                <w:sz w:val="21"/>
              </w:rPr>
              <w:t>4）负责校园日常维修管理，保证基础设施设备正常运行。</w:t>
            </w:r>
          </w:p>
          <w:p>
            <w:pPr>
              <w:pStyle w:val="4"/>
              <w:jc w:val="both"/>
            </w:pPr>
            <w:r>
              <w:rPr>
                <w:rFonts w:ascii="仿宋_GB2312" w:hAnsi="仿宋_GB2312" w:eastAsia="仿宋_GB2312" w:cs="仿宋_GB2312"/>
                <w:sz w:val="21"/>
              </w:rPr>
              <w:t>5）学校工作日期间每天工作时间8小时，法定节假日正常休息，休息日值班可安排调休。</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pPr>
              <w:pStyle w:val="4"/>
              <w:jc w:val="center"/>
            </w:pPr>
            <w:r>
              <w:rPr>
                <w:rFonts w:ascii="仿宋_GB2312" w:hAnsi="仿宋_GB2312" w:eastAsia="仿宋_GB2312" w:cs="仿宋_GB2312"/>
              </w:rPr>
              <w:t>2</w:t>
            </w:r>
          </w:p>
        </w:tc>
        <w:tc>
          <w:tcPr>
            <w:tcW w:w="581" w:type="dxa"/>
          </w:tcPr>
          <w:p>
            <w:pPr>
              <w:pStyle w:val="4"/>
              <w:jc w:val="center"/>
            </w:pPr>
            <w:r>
              <w:rPr>
                <w:rFonts w:ascii="仿宋_GB2312" w:hAnsi="仿宋_GB2312" w:eastAsia="仿宋_GB2312" w:cs="仿宋_GB2312"/>
              </w:rPr>
              <w:t>★</w:t>
            </w:r>
          </w:p>
        </w:tc>
        <w:tc>
          <w:tcPr>
            <w:tcW w:w="1495" w:type="dxa"/>
          </w:tcPr>
          <w:p>
            <w:pPr>
              <w:pStyle w:val="4"/>
              <w:jc w:val="left"/>
            </w:pPr>
            <w:r>
              <w:rPr>
                <w:rFonts w:ascii="仿宋_GB2312" w:hAnsi="仿宋_GB2312" w:eastAsia="仿宋_GB2312" w:cs="仿宋_GB2312"/>
              </w:rPr>
              <w:t>人员配置</w:t>
            </w:r>
          </w:p>
        </w:tc>
        <w:tc>
          <w:tcPr>
            <w:tcW w:w="5814" w:type="dxa"/>
          </w:tcPr>
          <w:p>
            <w:pPr>
              <w:pStyle w:val="4"/>
              <w:spacing w:before="105" w:after="105"/>
              <w:jc w:val="both"/>
            </w:pPr>
            <w:r>
              <w:rPr>
                <w:rFonts w:ascii="仿宋_GB2312" w:hAnsi="仿宋_GB2312" w:eastAsia="仿宋_GB2312" w:cs="仿宋_GB2312"/>
              </w:rPr>
              <w:t>★</w:t>
            </w:r>
            <w:r>
              <w:rPr>
                <w:rFonts w:ascii="仿宋_GB2312" w:hAnsi="仿宋_GB2312" w:eastAsia="仿宋_GB2312" w:cs="仿宋_GB2312"/>
                <w:sz w:val="21"/>
              </w:rPr>
              <w:t>（三）人员配置要求</w:t>
            </w:r>
          </w:p>
          <w:p>
            <w:pPr>
              <w:pStyle w:val="4"/>
              <w:spacing w:before="105" w:after="105"/>
              <w:jc w:val="both"/>
            </w:pPr>
            <w:r>
              <w:rPr>
                <w:rFonts w:ascii="仿宋_GB2312" w:hAnsi="仿宋_GB2312" w:eastAsia="仿宋_GB2312" w:cs="仿宋_GB2312"/>
                <w:sz w:val="21"/>
              </w:rPr>
              <w:t>1、根据项目具体情况，物业服务人员配置总数不少于34人(不含保障性服务临时用工人员），可多于、优于此配置，身体健康、不得与外部人员轮换、不得为退休人员，只针对本项目提供专职物业服务。上述人员应当与中标人签订全日制用工《劳动合同》并按国家及地方有关规定购买社保，</w:t>
            </w:r>
            <w:r>
              <w:rPr>
                <w:rFonts w:ascii="仿宋_GB2312" w:hAnsi="仿宋_GB2312" w:eastAsia="仿宋_GB2312" w:cs="仿宋_GB2312"/>
                <w:sz w:val="21"/>
                <w:shd w:val="clear" w:fill="FFFFFF"/>
              </w:rPr>
              <w:t>投标人必须确保投标文件拟派的所有服务人员在本项目服务期限内</w:t>
            </w:r>
            <w:r>
              <w:rPr>
                <w:rFonts w:ascii="仿宋_GB2312" w:hAnsi="仿宋_GB2312" w:eastAsia="仿宋_GB2312" w:cs="仿宋_GB2312"/>
                <w:sz w:val="21"/>
              </w:rPr>
              <w:t>年龄应满足各岗位具体要求</w:t>
            </w:r>
            <w:r>
              <w:rPr>
                <w:rFonts w:ascii="仿宋_GB2312" w:hAnsi="仿宋_GB2312" w:eastAsia="仿宋_GB2312" w:cs="仿宋_GB2312"/>
                <w:sz w:val="21"/>
                <w:shd w:val="clear" w:fill="FFFFFF"/>
              </w:rPr>
              <w:t>。</w:t>
            </w:r>
            <w:r>
              <w:rPr>
                <w:rFonts w:ascii="仿宋_GB2312" w:hAnsi="仿宋_GB2312" w:eastAsia="仿宋_GB2312" w:cs="仿宋_GB2312"/>
                <w:sz w:val="21"/>
              </w:rPr>
              <w:t>所有人员在上岗时均需提供公安机关出具的无违法犯罪记录证明。【说明：提供承诺函并加盖电子签章，格式自拟】</w:t>
            </w:r>
          </w:p>
          <w:p>
            <w:pPr>
              <w:pStyle w:val="4"/>
              <w:spacing w:before="105" w:after="105"/>
              <w:jc w:val="left"/>
            </w:pPr>
            <w:r>
              <w:rPr>
                <w:rFonts w:ascii="仿宋_GB2312" w:hAnsi="仿宋_GB2312" w:eastAsia="仿宋_GB2312" w:cs="仿宋_GB2312"/>
                <w:sz w:val="21"/>
              </w:rPr>
              <w:t>2、人员配置表</w:t>
            </w:r>
          </w:p>
          <w:tbl>
            <w:tblPr>
              <w:tblStyle w:val="2"/>
              <w:tblW w:w="0" w:type="auto"/>
              <w:tblInd w:w="120" w:type="dxa"/>
              <w:tblBorders>
                <w:top w:val="none" w:color="000000" w:sz="4" w:space="0"/>
                <w:left w:val="none" w:color="000000" w:sz="4" w:space="0"/>
                <w:bottom w:val="none" w:color="000000" w:sz="4" w:space="0"/>
                <w:right w:val="none" w:color="000000" w:sz="4" w:space="0"/>
                <w:insideH w:val="none" w:color="auto" w:sz="0" w:space="0"/>
                <w:insideV w:val="none" w:color="auto" w:sz="0" w:space="0"/>
              </w:tblBorders>
              <w:tblLayout w:type="autofit"/>
              <w:tblCellMar>
                <w:top w:w="0" w:type="dxa"/>
                <w:left w:w="108" w:type="dxa"/>
                <w:bottom w:w="0" w:type="dxa"/>
                <w:right w:w="108" w:type="dxa"/>
              </w:tblCellMar>
            </w:tblPr>
            <w:tblGrid>
              <w:gridCol w:w="609"/>
              <w:gridCol w:w="570"/>
              <w:gridCol w:w="4248"/>
              <w:gridCol w:w="46"/>
            </w:tblGrid>
            <w:tr>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622"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vAlign w:val="top"/>
                </w:tcPr>
                <w:p>
                  <w:pPr>
                    <w:pStyle w:val="4"/>
                    <w:spacing w:before="105" w:after="105"/>
                    <w:jc w:val="center"/>
                  </w:pPr>
                  <w:r>
                    <w:rPr>
                      <w:rFonts w:ascii="仿宋_GB2312" w:hAnsi="仿宋_GB2312" w:eastAsia="仿宋_GB2312" w:cs="仿宋_GB2312"/>
                      <w:sz w:val="18"/>
                    </w:rPr>
                    <w:t>岗位</w:t>
                  </w:r>
                </w:p>
              </w:tc>
              <w:tc>
                <w:tcPr>
                  <w:tcW w:w="485"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pPr>
                    <w:pStyle w:val="4"/>
                    <w:spacing w:before="105" w:after="105"/>
                    <w:jc w:val="center"/>
                  </w:pPr>
                  <w:r>
                    <w:rPr>
                      <w:rFonts w:ascii="仿宋_GB2312" w:hAnsi="仿宋_GB2312" w:eastAsia="仿宋_GB2312" w:cs="仿宋_GB2312"/>
                      <w:sz w:val="18"/>
                    </w:rPr>
                    <w:t>人数</w:t>
                  </w:r>
                </w:p>
              </w:tc>
              <w:tc>
                <w:tcPr>
                  <w:tcW w:w="4445"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pPr>
                    <w:pStyle w:val="4"/>
                    <w:spacing w:before="105" w:after="105"/>
                    <w:ind w:firstLine="240"/>
                    <w:jc w:val="center"/>
                  </w:pPr>
                  <w:r>
                    <w:rPr>
                      <w:rFonts w:ascii="仿宋_GB2312" w:hAnsi="仿宋_GB2312" w:eastAsia="仿宋_GB2312" w:cs="仿宋_GB2312"/>
                      <w:sz w:val="18"/>
                    </w:rPr>
                    <w:t>岗位要求</w:t>
                  </w:r>
                </w:p>
              </w:tc>
              <w:tc>
                <w:tcPr>
                  <w:tcW w:w="46" w:type="dxa"/>
                  <w:tcBorders>
                    <w:top w:val="nil"/>
                    <w:left w:val="nil"/>
                    <w:bottom w:val="nil"/>
                    <w:right w:val="nil"/>
                  </w:tcBorders>
                  <w:tcMar>
                    <w:top w:w="15" w:type="dxa"/>
                    <w:left w:w="15" w:type="dxa"/>
                    <w:bottom w:w="15" w:type="dxa"/>
                    <w:right w:w="15" w:type="dxa"/>
                  </w:tcMar>
                  <w:vAlign w:val="top"/>
                </w:tcPr>
                <w:p>
                  <w:pPr>
                    <w:pStyle w:val="4"/>
                    <w:spacing w:before="105" w:after="105"/>
                    <w:jc w:val="both"/>
                  </w:pPr>
                </w:p>
              </w:tc>
            </w:tr>
            <w:tr>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622" w:type="dxa"/>
                  <w:vMerge w:val="restart"/>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pPr>
                    <w:pStyle w:val="4"/>
                    <w:jc w:val="center"/>
                  </w:pPr>
                  <w:r>
                    <w:rPr>
                      <w:rFonts w:ascii="仿宋_GB2312" w:hAnsi="仿宋_GB2312" w:eastAsia="仿宋_GB2312" w:cs="仿宋_GB2312"/>
                      <w:sz w:val="18"/>
                    </w:rPr>
                    <w:t>学校安全与秩序</w:t>
                  </w:r>
                </w:p>
              </w:tc>
              <w:tc>
                <w:tcPr>
                  <w:tcW w:w="485" w:type="dxa"/>
                  <w:vMerge w:val="restart"/>
                  <w:tcBorders>
                    <w:top w:val="nil"/>
                    <w:left w:val="nil"/>
                    <w:bottom w:val="single" w:color="000000" w:sz="4" w:space="0"/>
                    <w:right w:val="single" w:color="000000" w:sz="4" w:space="0"/>
                  </w:tcBorders>
                  <w:tcMar>
                    <w:top w:w="0" w:type="dxa"/>
                    <w:left w:w="105" w:type="dxa"/>
                    <w:bottom w:w="0" w:type="dxa"/>
                    <w:right w:w="105" w:type="dxa"/>
                  </w:tcMar>
                  <w:vAlign w:val="top"/>
                </w:tcPr>
                <w:p>
                  <w:pPr>
                    <w:pStyle w:val="4"/>
                    <w:spacing w:before="105" w:after="105"/>
                    <w:jc w:val="center"/>
                  </w:pPr>
                  <w:r>
                    <w:rPr>
                      <w:rFonts w:ascii="仿宋_GB2312" w:hAnsi="仿宋_GB2312" w:eastAsia="仿宋_GB2312" w:cs="仿宋_GB2312"/>
                      <w:sz w:val="18"/>
                    </w:rPr>
                    <w:t>秩序维护人员10人（其中秩序维护队长1人）</w:t>
                  </w:r>
                </w:p>
              </w:tc>
              <w:tc>
                <w:tcPr>
                  <w:tcW w:w="4445" w:type="dxa"/>
                  <w:vMerge w:val="restart"/>
                  <w:tcBorders>
                    <w:top w:val="nil"/>
                    <w:left w:val="nil"/>
                    <w:bottom w:val="single" w:color="000000" w:sz="4" w:space="0"/>
                    <w:right w:val="single" w:color="000000" w:sz="4" w:space="0"/>
                  </w:tcBorders>
                  <w:tcMar>
                    <w:top w:w="0" w:type="dxa"/>
                    <w:left w:w="105" w:type="dxa"/>
                    <w:bottom w:w="0" w:type="dxa"/>
                    <w:right w:w="105" w:type="dxa"/>
                  </w:tcMar>
                  <w:vAlign w:val="top"/>
                </w:tcPr>
                <w:p>
                  <w:pPr>
                    <w:pStyle w:val="4"/>
                    <w:spacing w:before="90" w:after="105"/>
                    <w:jc w:val="both"/>
                  </w:pPr>
                  <w:r>
                    <w:rPr>
                      <w:rFonts w:ascii="仿宋_GB2312" w:hAnsi="仿宋_GB2312" w:eastAsia="仿宋_GB2312" w:cs="仿宋_GB2312"/>
                      <w:b/>
                      <w:sz w:val="18"/>
                    </w:rPr>
                    <w:t>1、秩序维护队长1人：</w:t>
                  </w:r>
                  <w:r>
                    <w:rPr>
                      <w:rFonts w:ascii="仿宋_GB2312" w:hAnsi="仿宋_GB2312" w:eastAsia="仿宋_GB2312" w:cs="仿宋_GB2312"/>
                      <w:sz w:val="18"/>
                    </w:rPr>
                    <w:t>负责秩序维护队日常管理工作。年龄低于50岁，大专及以上文化程度，工作认真负责、吃苦耐劳，具有较强的管理能力，同时持有公安部门颁发保安员证、红十字救护员证及行政管理部门颁发的中级（或四级）及以上职业资格证【消防设施操作员或建构筑物消防员证书】，具有三年及以上秩序维护主管岗位工作经验，有较强的组织管理能力，原则性强，具有良好的接待能力，有良好的亲和力、执行力。（说明：1.提供有效期内身份证（正反两面）扫描件并加盖电子签章；2.提供毕业证扫描件并加盖电子签章；3.提供有效的保安员证、红十字救护员证、【消防设施操作员或建构筑物消防员】职业资格证扫描件并加盖电子签章；4.提供加盖业主单位公章的工作经验证明材料，工作经验证明材料内容应体现拟派人员姓名、身份证号、服务项目名称、对应服务时间、任职岗位。若拟派人员单个物业管理项目的服务时间少于3年，则可提供多个物业管理项目且服务时间可累计；若拟派人员在同时段同时为2个及以上的物业管理项目提供服务的，则该时段只能计算一次服务时间。）</w:t>
                  </w:r>
                </w:p>
                <w:p>
                  <w:pPr>
                    <w:pStyle w:val="4"/>
                    <w:spacing w:before="90" w:after="105"/>
                    <w:jc w:val="both"/>
                  </w:pPr>
                  <w:r>
                    <w:rPr>
                      <w:rFonts w:ascii="仿宋_GB2312" w:hAnsi="仿宋_GB2312" w:eastAsia="仿宋_GB2312" w:cs="仿宋_GB2312"/>
                      <w:b/>
                      <w:sz w:val="18"/>
                    </w:rPr>
                    <w:t>2、秩序维护队员9人：</w:t>
                  </w:r>
                  <w:r>
                    <w:rPr>
                      <w:rFonts w:ascii="仿宋_GB2312" w:hAnsi="仿宋_GB2312" w:eastAsia="仿宋_GB2312" w:cs="仿宋_GB2312"/>
                      <w:sz w:val="18"/>
                    </w:rPr>
                    <w:t>①身体健康（签订合同时需提供当年体检的健康证，体检需含有吸毒尿检），品行良好，具有初中以上学历，无吸毒、犯罪、性侵等不良记录。（说明：须提供承诺函并进行电子签章，格式自拟）②女性低于50岁，男性低于60岁，均须持有公安部门颁发的保安员证。（说明：提供有效的保安员证扫描件并加盖电子签章）③至少2人具有行政管理部门颁发的中级（或四级）及以上职业资格证【消防设施操作员或建构筑物消防员证书】。（说明：提供【消防设施操作员或建构筑物消防员】职业资格证扫描件并加盖电子签章）</w:t>
                  </w:r>
                </w:p>
              </w:tc>
              <w:tc>
                <w:tcPr>
                  <w:tcW w:w="46" w:type="dxa"/>
                  <w:tcBorders>
                    <w:top w:val="nil"/>
                    <w:left w:val="nil"/>
                    <w:bottom w:val="nil"/>
                    <w:right w:val="nil"/>
                  </w:tcBorders>
                  <w:tcMar>
                    <w:top w:w="15" w:type="dxa"/>
                    <w:left w:w="15" w:type="dxa"/>
                    <w:bottom w:w="15" w:type="dxa"/>
                    <w:right w:w="15" w:type="dxa"/>
                  </w:tcMar>
                  <w:vAlign w:val="top"/>
                </w:tcPr>
                <w:p>
                  <w:pPr>
                    <w:pStyle w:val="4"/>
                    <w:jc w:val="left"/>
                  </w:pPr>
                </w:p>
              </w:tc>
            </w:tr>
            <w:tr>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622" w:type="dxa"/>
                  <w:vMerge w:val="continue"/>
                  <w:tcBorders>
                    <w:top w:val="nil"/>
                    <w:left w:val="single" w:color="000000" w:sz="4" w:space="0"/>
                    <w:bottom w:val="single" w:color="000000" w:sz="4" w:space="0"/>
                    <w:right w:val="single" w:color="000000" w:sz="4" w:space="0"/>
                  </w:tcBorders>
                </w:tcPr>
                <w:p/>
              </w:tc>
              <w:tc>
                <w:tcPr>
                  <w:tcW w:w="485" w:type="dxa"/>
                  <w:vMerge w:val="continue"/>
                  <w:tcBorders>
                    <w:top w:val="nil"/>
                    <w:left w:val="nil"/>
                    <w:bottom w:val="single" w:color="000000" w:sz="4" w:space="0"/>
                    <w:right w:val="single" w:color="000000" w:sz="4" w:space="0"/>
                  </w:tcBorders>
                </w:tcPr>
                <w:p/>
              </w:tc>
              <w:tc>
                <w:tcPr>
                  <w:tcW w:w="4445" w:type="dxa"/>
                  <w:vMerge w:val="continue"/>
                  <w:tcBorders>
                    <w:top w:val="nil"/>
                    <w:left w:val="nil"/>
                    <w:bottom w:val="single" w:color="000000" w:sz="4" w:space="0"/>
                    <w:right w:val="single" w:color="000000" w:sz="4" w:space="0"/>
                  </w:tcBorders>
                </w:tcPr>
                <w:p/>
              </w:tc>
              <w:tc>
                <w:tcPr>
                  <w:tcW w:w="46" w:type="dxa"/>
                  <w:tcBorders>
                    <w:top w:val="nil"/>
                    <w:left w:val="nil"/>
                    <w:bottom w:val="nil"/>
                    <w:right w:val="nil"/>
                  </w:tcBorders>
                  <w:tcMar>
                    <w:top w:w="15" w:type="dxa"/>
                    <w:left w:w="15" w:type="dxa"/>
                    <w:bottom w:w="15" w:type="dxa"/>
                    <w:right w:w="15" w:type="dxa"/>
                  </w:tcMar>
                  <w:vAlign w:val="top"/>
                </w:tcPr>
                <w:p/>
              </w:tc>
            </w:tr>
            <w:tr>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622"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pPr>
                    <w:pStyle w:val="4"/>
                    <w:jc w:val="center"/>
                  </w:pPr>
                  <w:r>
                    <w:rPr>
                      <w:rFonts w:ascii="仿宋_GB2312" w:hAnsi="仿宋_GB2312" w:eastAsia="仿宋_GB2312" w:cs="仿宋_GB2312"/>
                      <w:sz w:val="18"/>
                    </w:rPr>
                    <w:t>宿舍生活老师</w:t>
                  </w:r>
                </w:p>
              </w:tc>
              <w:tc>
                <w:tcPr>
                  <w:tcW w:w="485" w:type="dxa"/>
                  <w:tcBorders>
                    <w:top w:val="nil"/>
                    <w:left w:val="nil"/>
                    <w:bottom w:val="single" w:color="000000" w:sz="4" w:space="0"/>
                    <w:right w:val="single" w:color="000000" w:sz="4" w:space="0"/>
                  </w:tcBorders>
                  <w:tcMar>
                    <w:top w:w="0" w:type="dxa"/>
                    <w:left w:w="105" w:type="dxa"/>
                    <w:bottom w:w="0" w:type="dxa"/>
                    <w:right w:w="105" w:type="dxa"/>
                  </w:tcMar>
                  <w:vAlign w:val="top"/>
                </w:tcPr>
                <w:p>
                  <w:pPr>
                    <w:pStyle w:val="4"/>
                    <w:spacing w:before="105" w:after="105"/>
                    <w:jc w:val="center"/>
                  </w:pPr>
                  <w:r>
                    <w:rPr>
                      <w:rFonts w:ascii="仿宋_GB2312" w:hAnsi="仿宋_GB2312" w:eastAsia="仿宋_GB2312" w:cs="仿宋_GB2312"/>
                      <w:sz w:val="18"/>
                    </w:rPr>
                    <w:t>13人（其中宿舍主管1人）</w:t>
                  </w:r>
                </w:p>
              </w:tc>
              <w:tc>
                <w:tcPr>
                  <w:tcW w:w="4445" w:type="dxa"/>
                  <w:tcBorders>
                    <w:top w:val="nil"/>
                    <w:left w:val="nil"/>
                    <w:bottom w:val="single" w:color="000000" w:sz="4" w:space="0"/>
                    <w:right w:val="single" w:color="000000" w:sz="4" w:space="0"/>
                  </w:tcBorders>
                  <w:tcMar>
                    <w:top w:w="0" w:type="dxa"/>
                    <w:left w:w="105" w:type="dxa"/>
                    <w:bottom w:w="0" w:type="dxa"/>
                    <w:right w:w="105" w:type="dxa"/>
                  </w:tcMar>
                  <w:vAlign w:val="top"/>
                </w:tcPr>
                <w:p>
                  <w:pPr>
                    <w:pStyle w:val="4"/>
                    <w:spacing w:before="90" w:after="105"/>
                    <w:jc w:val="both"/>
                  </w:pPr>
                  <w:r>
                    <w:rPr>
                      <w:rFonts w:ascii="仿宋_GB2312" w:hAnsi="仿宋_GB2312" w:eastAsia="仿宋_GB2312" w:cs="仿宋_GB2312"/>
                      <w:b/>
                      <w:sz w:val="18"/>
                    </w:rPr>
                    <w:t>1、宿舍主管1人：</w:t>
                  </w:r>
                  <w:r>
                    <w:rPr>
                      <w:rFonts w:ascii="仿宋_GB2312" w:hAnsi="仿宋_GB2312" w:eastAsia="仿宋_GB2312" w:cs="仿宋_GB2312"/>
                      <w:sz w:val="18"/>
                    </w:rPr>
                    <w:t>①性别不限，女性低于50岁，男性低于55岁，具有大学专科及以上学历，持红十字救护员证，有较强的组织协调和沟通能力。（说明：提供有效身份证、红十字救护员证及毕业证件扫描件并电子签章）②具有三年及以上学生宿舍管理岗位工作经验（说明：1.提供加盖业主公章的学生宿舍主管岗位工作经验证明材料扫描件，工作经验证明材料内容应体现拟派人员姓名、身份证号、服务项目名称、对应服务时间、任职岗位；若供应商拟派人员单个项目的服务时间少于三年的，则可提供多个项目且服务时间可累计；若供应商拟派人员在同时段同时为2个及以上的项目提供服务的，则该时段仅计算其中一段服务时间，不重复计算。）</w:t>
                  </w:r>
                </w:p>
                <w:p>
                  <w:pPr>
                    <w:pStyle w:val="4"/>
                    <w:spacing w:before="105" w:after="105"/>
                    <w:jc w:val="left"/>
                  </w:pPr>
                  <w:r>
                    <w:rPr>
                      <w:rFonts w:ascii="仿宋_GB2312" w:hAnsi="仿宋_GB2312" w:eastAsia="仿宋_GB2312" w:cs="仿宋_GB2312"/>
                      <w:b/>
                      <w:sz w:val="18"/>
                    </w:rPr>
                    <w:t>2、宿管员12人：</w:t>
                  </w:r>
                  <w:r>
                    <w:rPr>
                      <w:rFonts w:ascii="仿宋_GB2312" w:hAnsi="仿宋_GB2312" w:eastAsia="仿宋_GB2312" w:cs="仿宋_GB2312"/>
                      <w:sz w:val="18"/>
                    </w:rPr>
                    <w:t>性别不限，女性低于50岁，男性低于55岁，工作积极主动，服务意识强，有较强的敬业精神，女性占比不少于60%，具有良好的沟通能力，有良好的亲和力。鉴于普通高中学生住宿管理的特殊性宿管员还须通过学校面试环节，若出现面试不合格的人员，公司及时安排同等及以上资质人员进行替换。（说明：</w:t>
                  </w:r>
                  <w:r>
                    <w:rPr>
                      <w:rFonts w:ascii="仿宋_GB2312" w:hAnsi="仿宋_GB2312" w:eastAsia="仿宋_GB2312" w:cs="仿宋_GB2312"/>
                      <w:sz w:val="19"/>
                    </w:rPr>
                    <w:t>提供承诺函并加盖电子签章，格式自拟）</w:t>
                  </w:r>
                </w:p>
              </w:tc>
              <w:tc>
                <w:tcPr>
                  <w:tcW w:w="46" w:type="dxa"/>
                  <w:tcBorders>
                    <w:top w:val="nil"/>
                    <w:left w:val="nil"/>
                    <w:bottom w:val="nil"/>
                    <w:right w:val="nil"/>
                  </w:tcBorders>
                  <w:tcMar>
                    <w:top w:w="15" w:type="dxa"/>
                    <w:left w:w="15" w:type="dxa"/>
                    <w:bottom w:w="15" w:type="dxa"/>
                    <w:right w:w="15" w:type="dxa"/>
                  </w:tcMar>
                  <w:vAlign w:val="top"/>
                </w:tcPr>
                <w:p>
                  <w:pPr>
                    <w:pStyle w:val="4"/>
                    <w:spacing w:before="105" w:after="105"/>
                    <w:jc w:val="both"/>
                  </w:pPr>
                </w:p>
              </w:tc>
            </w:tr>
            <w:tr>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622"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pPr>
                    <w:pStyle w:val="4"/>
                    <w:jc w:val="center"/>
                  </w:pPr>
                  <w:r>
                    <w:rPr>
                      <w:rFonts w:ascii="仿宋_GB2312" w:hAnsi="仿宋_GB2312" w:eastAsia="仿宋_GB2312" w:cs="仿宋_GB2312"/>
                      <w:sz w:val="18"/>
                    </w:rPr>
                    <w:t>校园卫生与保洁</w:t>
                  </w:r>
                </w:p>
              </w:tc>
              <w:tc>
                <w:tcPr>
                  <w:tcW w:w="485" w:type="dxa"/>
                  <w:tcBorders>
                    <w:top w:val="nil"/>
                    <w:left w:val="nil"/>
                    <w:bottom w:val="single" w:color="000000" w:sz="4" w:space="0"/>
                    <w:right w:val="single" w:color="000000" w:sz="4" w:space="0"/>
                  </w:tcBorders>
                  <w:tcMar>
                    <w:top w:w="0" w:type="dxa"/>
                    <w:left w:w="105" w:type="dxa"/>
                    <w:bottom w:w="0" w:type="dxa"/>
                    <w:right w:w="105" w:type="dxa"/>
                  </w:tcMar>
                  <w:vAlign w:val="top"/>
                </w:tcPr>
                <w:p>
                  <w:pPr>
                    <w:pStyle w:val="4"/>
                    <w:spacing w:before="105" w:after="105"/>
                    <w:jc w:val="center"/>
                  </w:pPr>
                  <w:r>
                    <w:rPr>
                      <w:rFonts w:ascii="仿宋_GB2312" w:hAnsi="仿宋_GB2312" w:eastAsia="仿宋_GB2312" w:cs="仿宋_GB2312"/>
                      <w:sz w:val="18"/>
                    </w:rPr>
                    <w:t>6人（其中保洁组长1人）</w:t>
                  </w:r>
                </w:p>
              </w:tc>
              <w:tc>
                <w:tcPr>
                  <w:tcW w:w="4445" w:type="dxa"/>
                  <w:tcBorders>
                    <w:top w:val="nil"/>
                    <w:left w:val="nil"/>
                    <w:bottom w:val="single" w:color="000000" w:sz="4" w:space="0"/>
                    <w:right w:val="single" w:color="000000" w:sz="4" w:space="0"/>
                  </w:tcBorders>
                  <w:tcMar>
                    <w:top w:w="0" w:type="dxa"/>
                    <w:left w:w="105" w:type="dxa"/>
                    <w:bottom w:w="0" w:type="dxa"/>
                    <w:right w:w="105" w:type="dxa"/>
                  </w:tcMar>
                  <w:vAlign w:val="top"/>
                </w:tcPr>
                <w:p>
                  <w:pPr>
                    <w:pStyle w:val="4"/>
                    <w:spacing w:before="105" w:after="105"/>
                    <w:jc w:val="both"/>
                  </w:pPr>
                  <w:r>
                    <w:rPr>
                      <w:rFonts w:ascii="仿宋_GB2312" w:hAnsi="仿宋_GB2312" w:eastAsia="仿宋_GB2312" w:cs="仿宋_GB2312"/>
                      <w:b/>
                      <w:sz w:val="18"/>
                    </w:rPr>
                    <w:t>1、保洁组长1人：</w:t>
                  </w:r>
                  <w:r>
                    <w:rPr>
                      <w:rFonts w:ascii="仿宋_GB2312" w:hAnsi="仿宋_GB2312" w:eastAsia="仿宋_GB2312" w:cs="仿宋_GB2312"/>
                      <w:sz w:val="18"/>
                    </w:rPr>
                    <w:t>负责环境维护日常管理工作。性别不限，年龄低于50岁，大专及以上学历，持有效中华人民共和国特种作业操作证（作业类别：高处作业），具有一年及以上保洁组长岗位工作经验。（说明：1、提供有效身份证、毕业证及有效操作证扫描件并加盖电子签章；2、提供加盖业主单位公章的工作经验证明材料，工作经验证明材料内容应体现拟派人员姓名、身份证号、服务项目名称、对应服务时间、任职岗位。若拟派人员单个物业管理项目的服务时间少于1年，则可提供多个物业管理项目且服务时间可累计；若拟派人员在同时段同时为2个及以上的物业管理项目提供服务的，则该时段只能计算一次服务时间。）</w:t>
                  </w:r>
                </w:p>
                <w:p>
                  <w:pPr>
                    <w:pStyle w:val="4"/>
                    <w:spacing w:before="105" w:after="105"/>
                    <w:jc w:val="both"/>
                  </w:pPr>
                  <w:r>
                    <w:rPr>
                      <w:rFonts w:ascii="仿宋_GB2312" w:hAnsi="仿宋_GB2312" w:eastAsia="仿宋_GB2312" w:cs="仿宋_GB2312"/>
                      <w:b/>
                      <w:sz w:val="18"/>
                    </w:rPr>
                    <w:t>2、保洁员5人：</w:t>
                  </w:r>
                  <w:r>
                    <w:rPr>
                      <w:rFonts w:ascii="仿宋_GB2312" w:hAnsi="仿宋_GB2312" w:eastAsia="仿宋_GB2312" w:cs="仿宋_GB2312"/>
                      <w:sz w:val="18"/>
                    </w:rPr>
                    <w:t>身体健康，能胜任该岗位工作，性别不限，男性年龄低于60岁，女性年龄低于50岁。有保洁服务工作经验，工作认真负责、 吃苦耐劳，服务意识强，工作积极主动。（说明：</w:t>
                  </w:r>
                  <w:r>
                    <w:rPr>
                      <w:rFonts w:ascii="仿宋_GB2312" w:hAnsi="仿宋_GB2312" w:eastAsia="仿宋_GB2312" w:cs="仿宋_GB2312"/>
                      <w:sz w:val="19"/>
                    </w:rPr>
                    <w:t>提供承诺函并加盖电子签章，格式自拟）</w:t>
                  </w:r>
                </w:p>
              </w:tc>
              <w:tc>
                <w:tcPr>
                  <w:tcW w:w="46" w:type="dxa"/>
                  <w:tcBorders>
                    <w:top w:val="nil"/>
                    <w:left w:val="nil"/>
                    <w:bottom w:val="nil"/>
                    <w:right w:val="nil"/>
                  </w:tcBorders>
                  <w:tcMar>
                    <w:top w:w="15" w:type="dxa"/>
                    <w:left w:w="15" w:type="dxa"/>
                    <w:bottom w:w="15" w:type="dxa"/>
                    <w:right w:w="15" w:type="dxa"/>
                  </w:tcMar>
                  <w:vAlign w:val="top"/>
                </w:tcPr>
                <w:p>
                  <w:pPr>
                    <w:pStyle w:val="4"/>
                    <w:spacing w:before="105" w:after="105"/>
                    <w:jc w:val="both"/>
                  </w:pPr>
                </w:p>
              </w:tc>
            </w:tr>
            <w:tr>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622"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pPr>
                    <w:pStyle w:val="4"/>
                    <w:jc w:val="center"/>
                  </w:pPr>
                  <w:r>
                    <w:rPr>
                      <w:rFonts w:ascii="仿宋_GB2312" w:hAnsi="仿宋_GB2312" w:eastAsia="仿宋_GB2312" w:cs="仿宋_GB2312"/>
                      <w:sz w:val="18"/>
                    </w:rPr>
                    <w:t>水电技工</w:t>
                  </w:r>
                </w:p>
              </w:tc>
              <w:tc>
                <w:tcPr>
                  <w:tcW w:w="485" w:type="dxa"/>
                  <w:tcBorders>
                    <w:top w:val="nil"/>
                    <w:left w:val="nil"/>
                    <w:bottom w:val="single" w:color="000000" w:sz="4" w:space="0"/>
                    <w:right w:val="single" w:color="000000" w:sz="4" w:space="0"/>
                  </w:tcBorders>
                  <w:tcMar>
                    <w:top w:w="0" w:type="dxa"/>
                    <w:left w:w="105" w:type="dxa"/>
                    <w:bottom w:w="0" w:type="dxa"/>
                    <w:right w:w="105" w:type="dxa"/>
                  </w:tcMar>
                  <w:vAlign w:val="top"/>
                </w:tcPr>
                <w:p>
                  <w:pPr>
                    <w:pStyle w:val="4"/>
                    <w:spacing w:before="105" w:after="105"/>
                    <w:jc w:val="center"/>
                  </w:pPr>
                  <w:r>
                    <w:rPr>
                      <w:rFonts w:ascii="仿宋_GB2312" w:hAnsi="仿宋_GB2312" w:eastAsia="仿宋_GB2312" w:cs="仿宋_GB2312"/>
                      <w:sz w:val="18"/>
                    </w:rPr>
                    <w:t>3人</w:t>
                  </w:r>
                </w:p>
              </w:tc>
              <w:tc>
                <w:tcPr>
                  <w:tcW w:w="4445" w:type="dxa"/>
                  <w:tcBorders>
                    <w:top w:val="nil"/>
                    <w:left w:val="nil"/>
                    <w:bottom w:val="single" w:color="000000" w:sz="4" w:space="0"/>
                    <w:right w:val="single" w:color="000000" w:sz="4" w:space="0"/>
                  </w:tcBorders>
                  <w:tcMar>
                    <w:top w:w="0" w:type="dxa"/>
                    <w:left w:w="105" w:type="dxa"/>
                    <w:bottom w:w="0" w:type="dxa"/>
                    <w:right w:w="105" w:type="dxa"/>
                  </w:tcMar>
                  <w:vAlign w:val="top"/>
                </w:tcPr>
                <w:p>
                  <w:pPr>
                    <w:pStyle w:val="4"/>
                    <w:spacing w:before="105" w:after="105"/>
                    <w:jc w:val="both"/>
                  </w:pPr>
                  <w:r>
                    <w:rPr>
                      <w:rFonts w:ascii="仿宋_GB2312" w:hAnsi="仿宋_GB2312" w:eastAsia="仿宋_GB2312" w:cs="仿宋_GB2312"/>
                      <w:sz w:val="18"/>
                    </w:rPr>
                    <w:t>1、身体健康，性别不限，女性低于50岁，男性低于55岁。（说明：提供有效身份证扫描件并加盖电子签章）</w:t>
                  </w:r>
                </w:p>
                <w:p>
                  <w:pPr>
                    <w:pStyle w:val="4"/>
                    <w:spacing w:before="105" w:after="105"/>
                    <w:jc w:val="both"/>
                  </w:pPr>
                  <w:r>
                    <w:rPr>
                      <w:rFonts w:ascii="仿宋_GB2312" w:hAnsi="仿宋_GB2312" w:eastAsia="仿宋_GB2312" w:cs="仿宋_GB2312"/>
                      <w:sz w:val="18"/>
                    </w:rPr>
                    <w:t>2、</w:t>
                  </w:r>
                  <w:r>
                    <w:rPr>
                      <w:rFonts w:ascii="仿宋_GB2312" w:hAnsi="仿宋_GB2312" w:eastAsia="仿宋_GB2312" w:cs="仿宋_GB2312"/>
                      <w:sz w:val="19"/>
                    </w:rPr>
                    <w:t>其中至少2人</w:t>
                  </w:r>
                  <w:r>
                    <w:rPr>
                      <w:rFonts w:ascii="仿宋_GB2312" w:hAnsi="仿宋_GB2312" w:eastAsia="仿宋_GB2312" w:cs="仿宋_GB2312"/>
                      <w:sz w:val="18"/>
                    </w:rPr>
                    <w:t>持有效《中华人民共和国特种作业操作证》(高压电工作业或低压电工作业）（说明：提供有效证件扫描件及二维码查询记录截图并加盖电子签章）</w:t>
                  </w:r>
                </w:p>
                <w:p>
                  <w:pPr>
                    <w:pStyle w:val="4"/>
                    <w:spacing w:before="105" w:after="105"/>
                    <w:jc w:val="both"/>
                  </w:pPr>
                  <w:r>
                    <w:rPr>
                      <w:rFonts w:ascii="仿宋_GB2312" w:hAnsi="仿宋_GB2312" w:eastAsia="仿宋_GB2312" w:cs="仿宋_GB2312"/>
                      <w:sz w:val="18"/>
                    </w:rPr>
                    <w:t>3、其中至少1人持有国家行政部门颁发的有效的特种作业操作证（作业类别：高处作业）。（说明：提供有效证件扫描件并加盖电子签章）</w:t>
                  </w:r>
                </w:p>
                <w:p>
                  <w:pPr>
                    <w:pStyle w:val="4"/>
                    <w:spacing w:before="105" w:after="105"/>
                    <w:jc w:val="both"/>
                  </w:pPr>
                  <w:r>
                    <w:rPr>
                      <w:rFonts w:ascii="仿宋_GB2312" w:hAnsi="仿宋_GB2312" w:eastAsia="仿宋_GB2312" w:cs="仿宋_GB2312"/>
                      <w:sz w:val="18"/>
                    </w:rPr>
                    <w:t>4、责任心强，工作积极主动，服务意识强，有较强的敬业精神。均具有两年及以上物业管理项目水电维修岗位工作经验。（说明：提供承诺函并加盖电子签章，格式自拟）</w:t>
                  </w:r>
                </w:p>
              </w:tc>
              <w:tc>
                <w:tcPr>
                  <w:tcW w:w="46" w:type="dxa"/>
                  <w:tcBorders>
                    <w:top w:val="nil"/>
                    <w:left w:val="nil"/>
                    <w:bottom w:val="nil"/>
                    <w:right w:val="nil"/>
                  </w:tcBorders>
                  <w:tcMar>
                    <w:top w:w="15" w:type="dxa"/>
                    <w:left w:w="15" w:type="dxa"/>
                    <w:bottom w:w="15" w:type="dxa"/>
                    <w:right w:w="15" w:type="dxa"/>
                  </w:tcMar>
                  <w:vAlign w:val="top"/>
                </w:tcPr>
                <w:p>
                  <w:pPr>
                    <w:pStyle w:val="4"/>
                    <w:spacing w:before="105" w:after="105"/>
                    <w:jc w:val="both"/>
                  </w:pPr>
                </w:p>
              </w:tc>
            </w:tr>
            <w:tr>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622"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pPr>
                    <w:pStyle w:val="4"/>
                    <w:jc w:val="center"/>
                  </w:pPr>
                  <w:r>
                    <w:rPr>
                      <w:rFonts w:ascii="仿宋_GB2312" w:hAnsi="仿宋_GB2312" w:eastAsia="仿宋_GB2312" w:cs="仿宋_GB2312"/>
                      <w:sz w:val="18"/>
                    </w:rPr>
                    <w:t>杂务管理与维护</w:t>
                  </w:r>
                </w:p>
              </w:tc>
              <w:tc>
                <w:tcPr>
                  <w:tcW w:w="485" w:type="dxa"/>
                  <w:tcBorders>
                    <w:top w:val="nil"/>
                    <w:left w:val="nil"/>
                    <w:bottom w:val="single" w:color="000000" w:sz="4" w:space="0"/>
                    <w:right w:val="single" w:color="000000" w:sz="4" w:space="0"/>
                  </w:tcBorders>
                  <w:tcMar>
                    <w:top w:w="0" w:type="dxa"/>
                    <w:left w:w="105" w:type="dxa"/>
                    <w:bottom w:w="0" w:type="dxa"/>
                    <w:right w:w="105" w:type="dxa"/>
                  </w:tcMar>
                  <w:vAlign w:val="top"/>
                </w:tcPr>
                <w:p>
                  <w:pPr>
                    <w:pStyle w:val="4"/>
                    <w:spacing w:before="105" w:after="105"/>
                    <w:jc w:val="center"/>
                  </w:pPr>
                  <w:r>
                    <w:rPr>
                      <w:rFonts w:ascii="仿宋_GB2312" w:hAnsi="仿宋_GB2312" w:eastAsia="仿宋_GB2312" w:cs="仿宋_GB2312"/>
                      <w:sz w:val="18"/>
                    </w:rPr>
                    <w:t>1人</w:t>
                  </w:r>
                </w:p>
              </w:tc>
              <w:tc>
                <w:tcPr>
                  <w:tcW w:w="4445" w:type="dxa"/>
                  <w:tcBorders>
                    <w:top w:val="nil"/>
                    <w:left w:val="nil"/>
                    <w:bottom w:val="single" w:color="000000" w:sz="4" w:space="0"/>
                    <w:right w:val="single" w:color="000000" w:sz="4" w:space="0"/>
                  </w:tcBorders>
                  <w:tcMar>
                    <w:top w:w="0" w:type="dxa"/>
                    <w:left w:w="105" w:type="dxa"/>
                    <w:bottom w:w="0" w:type="dxa"/>
                    <w:right w:w="105" w:type="dxa"/>
                  </w:tcMar>
                  <w:vAlign w:val="top"/>
                </w:tcPr>
                <w:p>
                  <w:pPr>
                    <w:pStyle w:val="4"/>
                    <w:spacing w:before="105" w:after="105"/>
                    <w:jc w:val="both"/>
                  </w:pPr>
                  <w:r>
                    <w:rPr>
                      <w:rFonts w:ascii="仿宋_GB2312" w:hAnsi="仿宋_GB2312" w:eastAsia="仿宋_GB2312" w:cs="仿宋_GB2312"/>
                      <w:sz w:val="18"/>
                    </w:rPr>
                    <w:t>身体健康，性别不限，法定劳动年龄内，能胜任该岗位工作，工作认真负责、吃苦耐劳，服务意识强，工作积极主动。（说明：提供承诺函并加盖电子签章，格式自拟）</w:t>
                  </w:r>
                </w:p>
              </w:tc>
              <w:tc>
                <w:tcPr>
                  <w:tcW w:w="46" w:type="dxa"/>
                  <w:tcBorders>
                    <w:top w:val="nil"/>
                    <w:left w:val="nil"/>
                    <w:bottom w:val="nil"/>
                    <w:right w:val="nil"/>
                  </w:tcBorders>
                  <w:tcMar>
                    <w:top w:w="15" w:type="dxa"/>
                    <w:left w:w="15" w:type="dxa"/>
                    <w:bottom w:w="15" w:type="dxa"/>
                    <w:right w:w="15" w:type="dxa"/>
                  </w:tcMar>
                  <w:vAlign w:val="top"/>
                </w:tcPr>
                <w:p>
                  <w:pPr>
                    <w:pStyle w:val="4"/>
                    <w:spacing w:before="105" w:after="105"/>
                    <w:jc w:val="both"/>
                  </w:pPr>
                </w:p>
              </w:tc>
            </w:tr>
            <w:tr>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622"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pPr>
                    <w:pStyle w:val="4"/>
                    <w:jc w:val="center"/>
                  </w:pPr>
                  <w:r>
                    <w:rPr>
                      <w:rFonts w:ascii="仿宋_GB2312" w:hAnsi="仿宋_GB2312" w:eastAsia="仿宋_GB2312" w:cs="仿宋_GB2312"/>
                      <w:sz w:val="18"/>
                    </w:rPr>
                    <w:t>项目经理</w:t>
                  </w:r>
                </w:p>
              </w:tc>
              <w:tc>
                <w:tcPr>
                  <w:tcW w:w="485" w:type="dxa"/>
                  <w:tcBorders>
                    <w:top w:val="nil"/>
                    <w:left w:val="nil"/>
                    <w:bottom w:val="single" w:color="000000" w:sz="4" w:space="0"/>
                    <w:right w:val="single" w:color="000000" w:sz="4" w:space="0"/>
                  </w:tcBorders>
                  <w:tcMar>
                    <w:top w:w="0" w:type="dxa"/>
                    <w:left w:w="105" w:type="dxa"/>
                    <w:bottom w:w="0" w:type="dxa"/>
                    <w:right w:w="105" w:type="dxa"/>
                  </w:tcMar>
                  <w:vAlign w:val="top"/>
                </w:tcPr>
                <w:p>
                  <w:pPr>
                    <w:pStyle w:val="4"/>
                    <w:spacing w:before="105" w:after="105"/>
                    <w:jc w:val="center"/>
                  </w:pPr>
                  <w:r>
                    <w:rPr>
                      <w:rFonts w:ascii="仿宋_GB2312" w:hAnsi="仿宋_GB2312" w:eastAsia="仿宋_GB2312" w:cs="仿宋_GB2312"/>
                      <w:sz w:val="18"/>
                    </w:rPr>
                    <w:t>1人</w:t>
                  </w:r>
                </w:p>
              </w:tc>
              <w:tc>
                <w:tcPr>
                  <w:tcW w:w="4445" w:type="dxa"/>
                  <w:tcBorders>
                    <w:top w:val="nil"/>
                    <w:left w:val="nil"/>
                    <w:bottom w:val="single" w:color="000000" w:sz="4" w:space="0"/>
                    <w:right w:val="single" w:color="000000" w:sz="4" w:space="0"/>
                  </w:tcBorders>
                  <w:tcMar>
                    <w:top w:w="0" w:type="dxa"/>
                    <w:left w:w="105" w:type="dxa"/>
                    <w:bottom w:w="0" w:type="dxa"/>
                    <w:right w:w="105" w:type="dxa"/>
                  </w:tcMar>
                  <w:vAlign w:val="top"/>
                </w:tcPr>
                <w:p>
                  <w:pPr>
                    <w:pStyle w:val="4"/>
                    <w:spacing w:before="105" w:after="105"/>
                    <w:jc w:val="both"/>
                  </w:pPr>
                  <w:r>
                    <w:rPr>
                      <w:rFonts w:ascii="仿宋_GB2312" w:hAnsi="仿宋_GB2312" w:eastAsia="仿宋_GB2312" w:cs="仿宋_GB2312"/>
                      <w:sz w:val="18"/>
                    </w:rPr>
                    <w:t>1、负责项目物业服务全面工作，身体健康，女性低于50岁，男性低于55岁，具有本科及以上学历。（说明：提供有效身份证及毕业证件扫描件并加盖电子签章）</w:t>
                  </w:r>
                </w:p>
                <w:p>
                  <w:pPr>
                    <w:pStyle w:val="4"/>
                    <w:spacing w:before="90" w:after="105"/>
                    <w:jc w:val="both"/>
                  </w:pPr>
                  <w:r>
                    <w:rPr>
                      <w:rFonts w:ascii="仿宋_GB2312" w:hAnsi="仿宋_GB2312" w:eastAsia="仿宋_GB2312" w:cs="仿宋_GB2312"/>
                      <w:sz w:val="18"/>
                    </w:rPr>
                    <w:t>2、具有三年及以上学校物业管理项目经理工作经验。身体健康，无犯罪记录，思想品德良好，有较强的组织协调和沟通管理能力，工作积极主动，服务意识强，爱岗敬业。（说明：1.提供加盖业主公章的项目经理岗位工作经验证明材料，工作经验证明材料内容应体现拟派人员姓名、身份证号、服务项目名称、对应服务时间、任职岗位、任职评价；若供应商拟派人员单个项目的服务时间少于三年的，则可提供多个项目且服务时间可累计；若供应商拟派人员在同时段同时为2个及以上的项目提供服务的，则该时段仅计算其中一段服务时间，不重复计算。）</w:t>
                  </w:r>
                </w:p>
              </w:tc>
              <w:tc>
                <w:tcPr>
                  <w:tcW w:w="46" w:type="dxa"/>
                  <w:tcBorders>
                    <w:top w:val="nil"/>
                    <w:left w:val="nil"/>
                    <w:bottom w:val="nil"/>
                    <w:right w:val="nil"/>
                  </w:tcBorders>
                  <w:tcMar>
                    <w:top w:w="15" w:type="dxa"/>
                    <w:left w:w="15" w:type="dxa"/>
                    <w:bottom w:w="15" w:type="dxa"/>
                    <w:right w:w="15" w:type="dxa"/>
                  </w:tcMar>
                  <w:vAlign w:val="top"/>
                </w:tcPr>
                <w:p>
                  <w:pPr>
                    <w:pStyle w:val="4"/>
                    <w:spacing w:before="105" w:after="105"/>
                    <w:jc w:val="both"/>
                  </w:pPr>
                </w:p>
              </w:tc>
            </w:tr>
            <w:tr>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622"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pPr>
                    <w:pStyle w:val="4"/>
                    <w:jc w:val="both"/>
                  </w:pPr>
                  <w:r>
                    <w:rPr>
                      <w:rFonts w:ascii="仿宋_GB2312" w:hAnsi="仿宋_GB2312" w:eastAsia="仿宋_GB2312" w:cs="仿宋_GB2312"/>
                      <w:b/>
                      <w:sz w:val="18"/>
                    </w:rPr>
                    <w:t>合计</w:t>
                  </w:r>
                </w:p>
              </w:tc>
              <w:tc>
                <w:tcPr>
                  <w:tcW w:w="485" w:type="dxa"/>
                  <w:tcBorders>
                    <w:top w:val="nil"/>
                    <w:left w:val="nil"/>
                    <w:bottom w:val="single" w:color="000000" w:sz="4" w:space="0"/>
                    <w:right w:val="single" w:color="000000" w:sz="4" w:space="0"/>
                  </w:tcBorders>
                  <w:tcMar>
                    <w:top w:w="0" w:type="dxa"/>
                    <w:left w:w="105" w:type="dxa"/>
                    <w:bottom w:w="0" w:type="dxa"/>
                    <w:right w:w="105" w:type="dxa"/>
                  </w:tcMar>
                  <w:vAlign w:val="top"/>
                </w:tcPr>
                <w:p>
                  <w:pPr>
                    <w:pStyle w:val="4"/>
                    <w:spacing w:before="105" w:after="105"/>
                    <w:jc w:val="both"/>
                  </w:pPr>
                  <w:r>
                    <w:rPr>
                      <w:rFonts w:ascii="仿宋_GB2312" w:hAnsi="仿宋_GB2312" w:eastAsia="仿宋_GB2312" w:cs="仿宋_GB2312"/>
                      <w:sz w:val="18"/>
                    </w:rPr>
                    <w:t>34人</w:t>
                  </w:r>
                </w:p>
              </w:tc>
              <w:tc>
                <w:tcPr>
                  <w:tcW w:w="4445" w:type="dxa"/>
                  <w:tcBorders>
                    <w:top w:val="nil"/>
                    <w:left w:val="nil"/>
                    <w:bottom w:val="single" w:color="000000" w:sz="4" w:space="0"/>
                    <w:right w:val="single" w:color="000000" w:sz="4" w:space="0"/>
                  </w:tcBorders>
                  <w:tcMar>
                    <w:top w:w="0" w:type="dxa"/>
                    <w:left w:w="105" w:type="dxa"/>
                    <w:bottom w:w="0" w:type="dxa"/>
                    <w:right w:w="105" w:type="dxa"/>
                  </w:tcMar>
                  <w:vAlign w:val="top"/>
                </w:tcPr>
                <w:p>
                  <w:pPr>
                    <w:pStyle w:val="4"/>
                    <w:spacing w:before="105" w:after="105"/>
                    <w:ind w:firstLine="480"/>
                    <w:jc w:val="center"/>
                  </w:pPr>
                  <w:r>
                    <w:rPr>
                      <w:rFonts w:ascii="仿宋_GB2312" w:hAnsi="仿宋_GB2312" w:eastAsia="仿宋_GB2312" w:cs="仿宋_GB2312"/>
                      <w:sz w:val="18"/>
                    </w:rPr>
                    <w:t>上述人员不重复</w:t>
                  </w:r>
                </w:p>
              </w:tc>
              <w:tc>
                <w:tcPr>
                  <w:tcW w:w="46" w:type="dxa"/>
                  <w:tcBorders>
                    <w:top w:val="nil"/>
                    <w:left w:val="nil"/>
                    <w:bottom w:val="nil"/>
                    <w:right w:val="nil"/>
                  </w:tcBorders>
                  <w:tcMar>
                    <w:top w:w="15" w:type="dxa"/>
                    <w:left w:w="15" w:type="dxa"/>
                    <w:bottom w:w="15" w:type="dxa"/>
                    <w:right w:w="15" w:type="dxa"/>
                  </w:tcMar>
                  <w:vAlign w:val="top"/>
                </w:tcPr>
                <w:p>
                  <w:pPr>
                    <w:pStyle w:val="4"/>
                    <w:spacing w:before="105" w:after="105"/>
                    <w:jc w:val="both"/>
                  </w:pPr>
                </w:p>
              </w:tc>
            </w:tr>
          </w:tbl>
          <w:p>
            <w:pPr>
              <w:pStyle w:val="4"/>
              <w:jc w:val="both"/>
            </w:pPr>
            <w:r>
              <w:rPr>
                <w:rFonts w:ascii="仿宋_GB2312" w:hAnsi="仿宋_GB2312" w:eastAsia="仿宋_GB2312" w:cs="仿宋_GB2312"/>
                <w:sz w:val="21"/>
              </w:rPr>
              <w:t>3、所有拟派人员在工作期间的疾病和人身安全、安全责任事故、劳务纠纷等由供应商负责。采购人对此不承担任何责任和义务。【说明：提供承诺函并加盖电子签章，格式自拟】</w:t>
            </w:r>
          </w:p>
          <w:p>
            <w:pPr>
              <w:pStyle w:val="4"/>
              <w:spacing w:before="105" w:after="105"/>
              <w:jc w:val="both"/>
            </w:pPr>
            <w:r>
              <w:rPr>
                <w:rFonts w:ascii="仿宋_GB2312" w:hAnsi="仿宋_GB2312" w:eastAsia="仿宋_GB2312" w:cs="仿宋_GB2312"/>
                <w:sz w:val="21"/>
              </w:rPr>
              <w:t>4、在本项目中标结果发出后，合同签订前，供应商应将投标文件中响应采购文件人员配置要求的所有证明材料原件交采购人核验，复印件交采购人存档，如出现存在提供虚假材料、与投标文件中提供的材料不符的情况，将视为供应商提供虚假材料谋取中标，则采购人有权拒绝与中标供应商签订合同。人员进驻当日，采购人将根据合同签订时供应商所提供的本项目服务人员相关信息一一核对，如不满足，不得进场，采购人将临时组建物业管理团队，由此造成的相关费用支出及损失由中标供应商负责承担，并报财政部门处理。【说明：提供承诺函并加盖电子签章，格式自拟】</w:t>
            </w:r>
          </w:p>
          <w:p>
            <w:pPr>
              <w:pStyle w:val="4"/>
              <w:spacing w:before="105" w:after="105"/>
              <w:jc w:val="both"/>
            </w:pPr>
            <w:r>
              <w:rPr>
                <w:rFonts w:ascii="仿宋_GB2312" w:hAnsi="仿宋_GB2312" w:eastAsia="仿宋_GB2312" w:cs="仿宋_GB2312"/>
                <w:sz w:val="21"/>
              </w:rPr>
              <w:t>5、供应商提供的为本项目服务的持证人员，在履职过程中不能满足工作需求，采购人有权要求供应商予以替换，公司及时安排同等及以上资质人员进行替换。【说明：提供承诺函并加盖电子签章，格式自拟】</w:t>
            </w:r>
          </w:p>
          <w:p>
            <w:pPr>
              <w:pStyle w:val="4"/>
              <w:spacing w:before="105" w:after="105"/>
              <w:jc w:val="both"/>
            </w:pPr>
            <w:r>
              <w:rPr>
                <w:rFonts w:ascii="仿宋_GB2312" w:hAnsi="仿宋_GB2312" w:eastAsia="仿宋_GB2312" w:cs="仿宋_GB2312"/>
                <w:sz w:val="21"/>
              </w:rPr>
              <w:t>6、供应商提供的本项目拟派人员派驻现场并经采购人确认后，不得随意更换。未经采购人同意，随意更换项目经理、秩序维护队长采购人有权扣款20000元/次,随意更换其它人员的，采购人有权扣款10000元/人/次；且采购人有权终止合同。若确需更换项目经理、秩序维护队长，更换前供应商应取得采购人同意，并于7日内派驻相关人员到岗，且派驻人员的标准和工作能力须满足或优于采购文件的要求，供应商拒不派遣或连续2次派遣人员达不到要求的，采购人有权终止合同，并追究供应商的违约责任。【说明：提供承诺函并加盖电子签章，格式自拟】</w:t>
            </w:r>
          </w:p>
          <w:p>
            <w:pPr>
              <w:pStyle w:val="4"/>
              <w:spacing w:before="105" w:after="105"/>
              <w:jc w:val="both"/>
            </w:pPr>
            <w:r>
              <w:rPr>
                <w:rFonts w:ascii="仿宋_GB2312" w:hAnsi="仿宋_GB2312" w:eastAsia="仿宋_GB2312" w:cs="仿宋_GB2312"/>
                <w:sz w:val="21"/>
              </w:rPr>
              <w:t>7、为本项目服务的人员，确因离职、伤病等原因造成人员流失的，供应商应及时向采购人报备，并于7日内将人员补足；超出规定时限仍未配齐人员，导致本项目物业人员不足，采购人将按所缺人数、天数和平均每人每天的物业费{报价/（总人数*365天）}扣除相应费用，并视为当月考核不合格。重新配置的人员需按原岗位要求，将相关信息报采购人确认后上岗。【说明：提供承诺函并加盖电子签章，格式自拟】</w:t>
            </w:r>
          </w:p>
          <w:p>
            <w:pPr>
              <w:pStyle w:val="4"/>
              <w:spacing w:before="105" w:after="105"/>
              <w:jc w:val="both"/>
            </w:pPr>
            <w:r>
              <w:rPr>
                <w:rFonts w:ascii="仿宋_GB2312" w:hAnsi="仿宋_GB2312" w:eastAsia="仿宋_GB2312" w:cs="仿宋_GB2312"/>
                <w:sz w:val="21"/>
              </w:rPr>
              <w:t>8、对服务质量差、不配合工作的服务人员，采购人有权责令中标供应商另行派遣人员并在2日内到岗。【说明：提供承诺函并加盖电子签章，格式自拟】</w:t>
            </w:r>
          </w:p>
          <w:p>
            <w:pPr>
              <w:pStyle w:val="4"/>
              <w:jc w:val="both"/>
            </w:pPr>
            <w:r>
              <w:rPr>
                <w:rFonts w:ascii="仿宋_GB2312" w:hAnsi="仿宋_GB2312" w:eastAsia="仿宋_GB2312" w:cs="仿宋_GB2312"/>
                <w:sz w:val="21"/>
              </w:rPr>
              <w:t>9、供应商拟派本项目服务人员的年龄必须符合招标文件要求，为本项目提供服务的所有物业服务人员工资标准不少于项目所在地最低工资最新标准，并按国家及地方有关政策法规购买社保及住房公积金。【说明：提供承诺函并加盖电子签章，格式自拟】</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pPr>
              <w:pStyle w:val="4"/>
              <w:jc w:val="center"/>
            </w:pPr>
            <w:r>
              <w:rPr>
                <w:rFonts w:ascii="仿宋_GB2312" w:hAnsi="仿宋_GB2312" w:eastAsia="仿宋_GB2312" w:cs="仿宋_GB2312"/>
              </w:rPr>
              <w:t>3</w:t>
            </w:r>
          </w:p>
        </w:tc>
        <w:tc>
          <w:tcPr>
            <w:tcW w:w="581" w:type="dxa"/>
          </w:tcPr>
          <w:p>
            <w:pPr>
              <w:pStyle w:val="4"/>
              <w:jc w:val="center"/>
            </w:pPr>
            <w:r>
              <w:rPr>
                <w:rFonts w:ascii="仿宋_GB2312" w:hAnsi="仿宋_GB2312" w:eastAsia="仿宋_GB2312" w:cs="仿宋_GB2312"/>
              </w:rPr>
              <w:t>★</w:t>
            </w:r>
          </w:p>
        </w:tc>
        <w:tc>
          <w:tcPr>
            <w:tcW w:w="1495" w:type="dxa"/>
          </w:tcPr>
          <w:p>
            <w:pPr>
              <w:pStyle w:val="4"/>
              <w:jc w:val="left"/>
            </w:pPr>
            <w:r>
              <w:rPr>
                <w:rFonts w:ascii="仿宋_GB2312" w:hAnsi="仿宋_GB2312" w:eastAsia="仿宋_GB2312" w:cs="仿宋_GB2312"/>
              </w:rPr>
              <w:t>机具设备及耗材要求</w:t>
            </w:r>
          </w:p>
        </w:tc>
        <w:tc>
          <w:tcPr>
            <w:tcW w:w="5814" w:type="dxa"/>
          </w:tcPr>
          <w:p>
            <w:pPr>
              <w:pStyle w:val="4"/>
              <w:spacing w:before="105" w:after="105"/>
              <w:jc w:val="both"/>
            </w:pPr>
            <w:r>
              <w:rPr>
                <w:rFonts w:ascii="仿宋_GB2312" w:hAnsi="仿宋_GB2312" w:eastAsia="仿宋_GB2312" w:cs="仿宋_GB2312"/>
                <w:sz w:val="21"/>
              </w:rPr>
              <w:t>★（四）供应商应提供的机具设备及耗材要求【说明：提供承诺函并加盖电子签章，格式自拟】</w:t>
            </w:r>
          </w:p>
          <w:p>
            <w:pPr>
              <w:pStyle w:val="4"/>
              <w:spacing w:before="105" w:after="105"/>
              <w:jc w:val="both"/>
            </w:pPr>
            <w:r>
              <w:rPr>
                <w:rFonts w:ascii="仿宋_GB2312" w:hAnsi="仿宋_GB2312" w:eastAsia="仿宋_GB2312" w:cs="仿宋_GB2312"/>
                <w:sz w:val="21"/>
              </w:rPr>
              <w:t>1.本项目配备的下列机具设备及设备维修、耗材供应商需按招标文件要求进行报价，并计入总价中，包含一辆巡逻车、一台扫地机及相关维修、耗材费用（此项费用每年不少于2万元）。</w:t>
            </w:r>
          </w:p>
          <w:p>
            <w:pPr>
              <w:pStyle w:val="4"/>
              <w:spacing w:before="105" w:after="105"/>
              <w:jc w:val="both"/>
            </w:pPr>
            <w:r>
              <w:rPr>
                <w:rFonts w:ascii="仿宋_GB2312" w:hAnsi="仿宋_GB2312" w:eastAsia="仿宋_GB2312" w:cs="仿宋_GB2312"/>
                <w:sz w:val="21"/>
              </w:rPr>
              <w:t>2.为保障采购人的正常工作秩序，中标后，在合同签订前（一周内），采购人将对供应商拟配置机具设备进行查验，如果中标供应商不能按时提供或不能完整提供投标文件中拟配置机具设备，则采购人有权拒绝与中标供应商签订合同。人员进驻当日，中标人须携带机具设备进场，采购人将对供应商所提供的机具设备一一核对，如不满足招标文件要求，不得进场，采购人将临时组建物业管理团队直至供应商配备满足招标文件要求，由此造成的相关费用支出及损失由中标供应商负责承担。</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pPr>
              <w:pStyle w:val="4"/>
              <w:jc w:val="center"/>
            </w:pPr>
            <w:r>
              <w:rPr>
                <w:rFonts w:ascii="仿宋_GB2312" w:hAnsi="仿宋_GB2312" w:eastAsia="仿宋_GB2312" w:cs="仿宋_GB2312"/>
              </w:rPr>
              <w:t>4</w:t>
            </w:r>
          </w:p>
        </w:tc>
        <w:tc>
          <w:tcPr>
            <w:tcW w:w="581" w:type="dxa"/>
          </w:tcPr>
          <w:p>
            <w:pPr>
              <w:pStyle w:val="4"/>
              <w:jc w:val="center"/>
            </w:pPr>
            <w:r>
              <w:rPr>
                <w:rFonts w:ascii="仿宋_GB2312" w:hAnsi="仿宋_GB2312" w:eastAsia="仿宋_GB2312" w:cs="仿宋_GB2312"/>
              </w:rPr>
              <w:t>★</w:t>
            </w:r>
          </w:p>
        </w:tc>
        <w:tc>
          <w:tcPr>
            <w:tcW w:w="1495" w:type="dxa"/>
          </w:tcPr>
          <w:p>
            <w:pPr>
              <w:pStyle w:val="4"/>
              <w:jc w:val="left"/>
            </w:pPr>
            <w:r>
              <w:rPr>
                <w:rFonts w:ascii="仿宋_GB2312" w:hAnsi="仿宋_GB2312" w:eastAsia="仿宋_GB2312" w:cs="仿宋_GB2312"/>
              </w:rPr>
              <w:t>其他要求</w:t>
            </w:r>
          </w:p>
        </w:tc>
        <w:tc>
          <w:tcPr>
            <w:tcW w:w="5814" w:type="dxa"/>
          </w:tcPr>
          <w:p>
            <w:pPr>
              <w:pStyle w:val="4"/>
              <w:spacing w:before="105" w:after="105"/>
              <w:jc w:val="both"/>
            </w:pPr>
            <w:r>
              <w:rPr>
                <w:rFonts w:ascii="仿宋_GB2312" w:hAnsi="仿宋_GB2312" w:eastAsia="仿宋_GB2312" w:cs="仿宋_GB2312"/>
                <w:sz w:val="21"/>
              </w:rPr>
              <w:t>★（五）其它要求</w:t>
            </w:r>
          </w:p>
          <w:p>
            <w:pPr>
              <w:pStyle w:val="4"/>
              <w:spacing w:before="105" w:after="105"/>
              <w:jc w:val="both"/>
            </w:pPr>
            <w:r>
              <w:rPr>
                <w:rFonts w:ascii="仿宋_GB2312" w:hAnsi="仿宋_GB2312" w:eastAsia="仿宋_GB2312" w:cs="仿宋_GB2312"/>
                <w:sz w:val="21"/>
              </w:rPr>
              <w:t>1.为保障项目的顺利实施，确保服务品质，供应商不得以企业拟派服务人员享受的优惠或减免（工资补贴、社保补贴）政策以及经营收入，抵减本项目实际运行开支而减少报价项目或报价金额，分项报价明细表中各明细费用也不得免费或无偿、赠送、零报价提供服务，否则视为未实质性响应。若投标依法享受税收优惠或减免须提供:①政策文件②)相应人员的有效身份证复印件③证明其现已符合优惠和减免政策对应的证明材料④)若投标人或拟配置服务人员享受优惠或减免等政策,享受期不能覆盖完本项目服务期限的,按已覆善项目服务期与未覆盖项目服务期进行分段计算并平均到服务期内。</w:t>
            </w:r>
          </w:p>
          <w:p>
            <w:pPr>
              <w:pStyle w:val="4"/>
              <w:spacing w:before="105" w:after="105"/>
              <w:jc w:val="both"/>
            </w:pPr>
            <w:r>
              <w:rPr>
                <w:rFonts w:ascii="仿宋_GB2312" w:hAnsi="仿宋_GB2312" w:eastAsia="仿宋_GB2312" w:cs="仿宋_GB2312"/>
                <w:sz w:val="21"/>
              </w:rPr>
              <w:t>2、投标供应商自2022年1月1日(含1日)以后，至少具有1个学校物业服务项目业绩且业主评价为满意或优秀(或相同语意内容)，服务内容至少包含秩序维护(或安保服务或相同语意内容)和保洁管理(或环境卫生或清洁类服务或相同语意内容)。(说明：①提供合同复印件及合同执行期间的资金收款的银行转账票据复印件及与银行转账票据对等金额的发票复印件（如为分期付款的，至少提供一次银行转账票据及发票，发票还须提供在国家税务总局全国增值税发票查验平台（https://inv-veri.chinatax.gov.cn/index.html）查询结果截图）并加盖电子签章；②业绩以合同签订时间为准，同一业主的多个合同按一个业绩计算；③单个合同中应全部体现相应服务内容及物业类型；④提供加盖业主公章的服务评价复印件(评价须为类似满意或优秀等语意)。原件备查。</w:t>
            </w:r>
          </w:p>
          <w:p>
            <w:pPr>
              <w:pStyle w:val="4"/>
              <w:spacing w:before="105" w:after="105"/>
              <w:jc w:val="both"/>
            </w:pPr>
            <w:r>
              <w:rPr>
                <w:rFonts w:ascii="仿宋_GB2312" w:hAnsi="仿宋_GB2312" w:eastAsia="仿宋_GB2312" w:cs="仿宋_GB2312"/>
                <w:sz w:val="21"/>
              </w:rPr>
              <w:t>3、公共能耗费用、维修耗材、化粪池清掏、公共设施设备需检测及维保费由采购人承担。</w:t>
            </w:r>
          </w:p>
          <w:p>
            <w:pPr>
              <w:pStyle w:val="4"/>
              <w:spacing w:before="105" w:after="105"/>
              <w:jc w:val="both"/>
            </w:pPr>
            <w:r>
              <w:rPr>
                <w:rFonts w:ascii="仿宋_GB2312" w:hAnsi="仿宋_GB2312" w:eastAsia="仿宋_GB2312" w:cs="仿宋_GB2312"/>
                <w:sz w:val="21"/>
              </w:rPr>
              <w:t>4、供应商须承担学校大型活动（如赛事活动、研讨会、迎新活动、招生工作等）所需的搬运等保障性服务任务一年至少2次（每次至少4小时）。供应商需要积极支持并响应，供应商每次须另增派2名保障性服务临时用工人员，所产生的保障性服务临时用工费用包含在本次报价中，计入分项报价明细。所另增派人员小时工资按照不少于《四川省人民政府关于调整全省最低工资标准的通知》（川府规〔2024〕4号）规定的非全日制用工小时最低工资标准（第二档）计算。投标人应与另增派人员签订非全日制劳动合同，工作期间的人身安全、劳务纠纷等都由供应商自行负责，采购人对此不承担任何的责任和义务。【说明：提供承诺函并加盖电子签章，格式自拟】</w:t>
            </w:r>
          </w:p>
          <w:p>
            <w:pPr>
              <w:pStyle w:val="4"/>
              <w:spacing w:before="105" w:after="105"/>
              <w:jc w:val="both"/>
            </w:pPr>
            <w:r>
              <w:rPr>
                <w:rFonts w:ascii="仿宋_GB2312" w:hAnsi="仿宋_GB2312" w:eastAsia="仿宋_GB2312" w:cs="仿宋_GB2312"/>
                <w:sz w:val="21"/>
              </w:rPr>
              <w:t>5、学校不免费提供员工餐，本项目员工工作餐由中标供应商自行解决。【说明：提供承诺函并加盖电子签章，格式自拟】</w:t>
            </w:r>
          </w:p>
          <w:p>
            <w:pPr>
              <w:pStyle w:val="4"/>
              <w:spacing w:before="105" w:after="105"/>
              <w:jc w:val="both"/>
            </w:pPr>
            <w:r>
              <w:rPr>
                <w:rFonts w:ascii="仿宋_GB2312" w:hAnsi="仿宋_GB2312" w:eastAsia="仿宋_GB2312" w:cs="仿宋_GB2312"/>
                <w:sz w:val="21"/>
              </w:rPr>
              <w:t>6、中标人须为本项目提供服务的物业服务人员每年进行1次身体健康体检，确保身体状况良好，物业服务人员体检由供应商负责组织，并承担体检费用。供应商应将本条要求所产生的体检费用（不少于400元/人/年）计入分项报价明细表。供应商应将体检报告归档，向采购人提供，供采购人查阅。</w:t>
            </w:r>
          </w:p>
          <w:p>
            <w:pPr>
              <w:pStyle w:val="4"/>
              <w:spacing w:before="105" w:after="105"/>
              <w:jc w:val="both"/>
            </w:pPr>
            <w:r>
              <w:rPr>
                <w:rFonts w:ascii="仿宋_GB2312" w:hAnsi="仿宋_GB2312" w:eastAsia="仿宋_GB2312" w:cs="仿宋_GB2312"/>
                <w:sz w:val="21"/>
              </w:rPr>
              <w:t>★（六）投标人针对本项目需要提供的项目服务方案</w:t>
            </w:r>
          </w:p>
          <w:p>
            <w:pPr>
              <w:pStyle w:val="4"/>
              <w:spacing w:before="105" w:after="105"/>
              <w:jc w:val="both"/>
            </w:pPr>
            <w:r>
              <w:rPr>
                <w:rFonts w:ascii="仿宋_GB2312" w:hAnsi="仿宋_GB2312" w:eastAsia="仿宋_GB2312" w:cs="仿宋_GB2312"/>
                <w:sz w:val="21"/>
              </w:rPr>
              <w:t>1、总体服务策划及服务承诺，包括但不限于：项目概况分析；物业管理服务整体设想、策划及组织落实；项目管理机构设置及工作职能运行图；服务承诺及保障措施。</w:t>
            </w:r>
          </w:p>
          <w:p>
            <w:pPr>
              <w:pStyle w:val="4"/>
              <w:spacing w:before="105" w:after="105"/>
              <w:jc w:val="both"/>
            </w:pPr>
            <w:r>
              <w:rPr>
                <w:rFonts w:ascii="仿宋_GB2312" w:hAnsi="仿宋_GB2312" w:eastAsia="仿宋_GB2312" w:cs="仿宋_GB2312"/>
                <w:sz w:val="21"/>
              </w:rPr>
              <w:t>2、学校安全与秩序服务方案，包括不限于：人员配置及岗位职责；秩序维护服务重点难点分析及措施；人员、物资、车辆进出管理；公共区域安全巡逻实施方案；重大治安事件报告制度；重大接待保障方案；秩序工作流程。</w:t>
            </w:r>
          </w:p>
          <w:p>
            <w:pPr>
              <w:pStyle w:val="4"/>
              <w:spacing w:before="105" w:after="105"/>
              <w:jc w:val="both"/>
            </w:pPr>
            <w:r>
              <w:rPr>
                <w:rFonts w:ascii="仿宋_GB2312" w:hAnsi="仿宋_GB2312" w:eastAsia="仿宋_GB2312" w:cs="仿宋_GB2312"/>
                <w:sz w:val="21"/>
              </w:rPr>
              <w:t>3、校园卫生与保洁服务方案，包括不限于：人员配置及岗位职责；校园卫生与保洁服务重点难点分析及措施；保洁培训内容、方式及计划安排；垃圾分类及清运；公共区域消毒服务；会议室保洁服务；卫生间保洁服务；办公室、公共教室保洁服务。</w:t>
            </w:r>
          </w:p>
          <w:p>
            <w:pPr>
              <w:pStyle w:val="4"/>
              <w:spacing w:before="105" w:after="105"/>
              <w:jc w:val="both"/>
            </w:pPr>
            <w:r>
              <w:rPr>
                <w:rFonts w:ascii="仿宋_GB2312" w:hAnsi="仿宋_GB2312" w:eastAsia="仿宋_GB2312" w:cs="仿宋_GB2312"/>
                <w:sz w:val="21"/>
              </w:rPr>
              <w:t>4、维修服务方案，包括不限于：人员配置及岗位职责，日常维修服务重点难点分析及措施；设施设备巡查方案；设施设备维修服务方案；节能管理具体措施。</w:t>
            </w:r>
          </w:p>
          <w:p>
            <w:pPr>
              <w:pStyle w:val="4"/>
              <w:spacing w:before="105" w:after="105"/>
              <w:jc w:val="both"/>
            </w:pPr>
            <w:r>
              <w:rPr>
                <w:rFonts w:ascii="仿宋_GB2312" w:hAnsi="仿宋_GB2312" w:eastAsia="仿宋_GB2312" w:cs="仿宋_GB2312"/>
                <w:sz w:val="21"/>
              </w:rPr>
              <w:t>5、学生公寓管理服务方案，包括不限于：人员配置及岗位职责；公寓管理服务重点难点分析及措施；公寓学生管理制度、公寓安全巡检措施、学生公寓文化建设、沟通协调措施。</w:t>
            </w:r>
          </w:p>
          <w:p>
            <w:pPr>
              <w:pStyle w:val="4"/>
              <w:spacing w:before="105" w:after="105"/>
              <w:jc w:val="both"/>
            </w:pPr>
            <w:r>
              <w:rPr>
                <w:rFonts w:ascii="仿宋_GB2312" w:hAnsi="仿宋_GB2312" w:eastAsia="仿宋_GB2312" w:cs="仿宋_GB2312"/>
                <w:sz w:val="21"/>
              </w:rPr>
              <w:t>6、应急处置方案，包括不限于：断水断电；防洪防汛；防恐防暴应急预案；各类常见紧急情况；消防应急；疫情防控。</w:t>
            </w:r>
          </w:p>
          <w:p>
            <w:pPr>
              <w:pStyle w:val="4"/>
              <w:spacing w:before="105" w:after="105"/>
              <w:jc w:val="both"/>
            </w:pPr>
            <w:r>
              <w:rPr>
                <w:rFonts w:ascii="仿宋_GB2312" w:hAnsi="仿宋_GB2312" w:eastAsia="仿宋_GB2312" w:cs="仿宋_GB2312"/>
                <w:sz w:val="21"/>
              </w:rPr>
              <w:t>注：提供提上述服务方案并加盖电子签章，格式自拟；上述实施方案内容中，若出现项目名称、地址、物业类型、单位名称与本项目无关的，与本项目采购需求内容不一致的，套用其他项目方案，与项目实际情况不符，或有漏项的、描述错误的、前后矛盾的，服务方案中工作频次（如涉及）低于本项目服务要求或仅有框架或标题等任意一种情形，视为未实质性响应本项目。</w:t>
            </w:r>
          </w:p>
          <w:p>
            <w:pPr>
              <w:pStyle w:val="4"/>
              <w:spacing w:before="105" w:after="105"/>
              <w:jc w:val="both"/>
            </w:pPr>
            <w:r>
              <w:rPr>
                <w:rFonts w:ascii="仿宋_GB2312" w:hAnsi="仿宋_GB2312" w:eastAsia="仿宋_GB2312" w:cs="仿宋_GB2312"/>
                <w:sz w:val="21"/>
              </w:rPr>
              <w:t>★（七）报价要求</w:t>
            </w:r>
          </w:p>
          <w:p>
            <w:pPr>
              <w:pStyle w:val="4"/>
              <w:spacing w:before="105" w:after="105"/>
              <w:jc w:val="both"/>
            </w:pPr>
            <w:r>
              <w:rPr>
                <w:rFonts w:ascii="仿宋_GB2312" w:hAnsi="仿宋_GB2312" w:eastAsia="仿宋_GB2312" w:cs="仿宋_GB2312"/>
                <w:sz w:val="21"/>
              </w:rPr>
              <w:t>1、供应商报价应符合政府采购、国家和地方关于税费、社保等相关法律法规，结合项目所在地市场实际，并充分考虑项目所在地最低工资标准和社会保险缴费比率上调等因素。本项目服务期内如遇最低工资标准、社会保险缴费基数及缴费比率等调整，按照最新的政策要求执行。供应商应按采购文件要求提供分项报价明细表（格式自拟），逐一列明分项报价并计入投标总报价。分项报价明细表中各明细费用不得以“企业让利”“已有耗材或设施设备库存”等形式免费或无偿、赠送或零报价提供服务，否则视为未实质性响应。</w:t>
            </w:r>
          </w:p>
          <w:p>
            <w:pPr>
              <w:pStyle w:val="4"/>
              <w:spacing w:before="105" w:after="105"/>
              <w:jc w:val="both"/>
            </w:pPr>
            <w:r>
              <w:rPr>
                <w:rFonts w:ascii="仿宋_GB2312" w:hAnsi="仿宋_GB2312" w:eastAsia="仿宋_GB2312" w:cs="仿宋_GB2312"/>
                <w:sz w:val="21"/>
              </w:rPr>
              <w:t>2、供应商投标报价是响应采购项目要求的全部工作内容的价格体现。报价至少包含：人员基本工资、社会保险、加班费、住房公积金、服装费、机具设备及耗材、保障性服务临时用工费用、企业管理费、利润、税费及采购文件约定投标人承担的其他费用等分项。采购人不再另行支付其他费用。供应商应按上述要求逐一列明分项报价明细，如未按采购文件要求填写分项报价明细表或缺项，则视为未实质性响应，报价明细要求如下：</w:t>
            </w:r>
          </w:p>
          <w:p>
            <w:pPr>
              <w:pStyle w:val="4"/>
              <w:spacing w:before="105" w:after="105"/>
              <w:jc w:val="both"/>
            </w:pPr>
            <w:r>
              <w:rPr>
                <w:rFonts w:ascii="仿宋_GB2312" w:hAnsi="仿宋_GB2312" w:eastAsia="仿宋_GB2312" w:cs="仿宋_GB2312"/>
                <w:sz w:val="21"/>
              </w:rPr>
              <w:t>（1）人员基本工资标准：按不少于《四川省人民政府关于调整全省最低工资标准的通知》“川府规〔2024〕4号”第二档执行。</w:t>
            </w:r>
          </w:p>
          <w:p>
            <w:pPr>
              <w:pStyle w:val="4"/>
              <w:spacing w:before="105" w:after="105"/>
              <w:jc w:val="both"/>
            </w:pPr>
            <w:r>
              <w:rPr>
                <w:rFonts w:ascii="仿宋_GB2312" w:hAnsi="仿宋_GB2312" w:eastAsia="仿宋_GB2312" w:cs="仿宋_GB2312"/>
                <w:sz w:val="21"/>
              </w:rPr>
              <w:t>（2）社会保险：供应商应按照国家及成都市相关规定为本项目提供服务的人员购买社会保险，社会保险包括养老保险、失业保险、工伤保险、医疗保险（含大病）及生育保险，且缴费比例应符合成都市最新社保缴纳标准。供应商单位缴纳社保基数应符合成都市最新城镇职工缴费基数。</w:t>
            </w:r>
          </w:p>
          <w:p>
            <w:pPr>
              <w:pStyle w:val="4"/>
              <w:spacing w:before="105" w:after="105"/>
              <w:jc w:val="both"/>
            </w:pPr>
            <w:r>
              <w:rPr>
                <w:rFonts w:ascii="仿宋_GB2312" w:hAnsi="仿宋_GB2312" w:eastAsia="仿宋_GB2312" w:cs="仿宋_GB2312"/>
                <w:sz w:val="21"/>
              </w:rPr>
              <w:t>（3）加班费：法定节假日和法定休息日加班费用：法定节假日全年按13天计算，法定节假日加 班费用根据《中华人民共和国劳动法》（2018修正）第四十四条（三）法定休假日安排劳动者工作的，支付不低于工资的百分之三百的工资报酬，其余加班由供应商自行安排轮休 ，供应商也可在报价中自行考虑。本项目法定节假日加班人数为秩序维护人员3人、保洁人员1人进入报价。加班费用按基本工资÷21.75天×13天×3 倍×人数计算。（供应商应按此公式计算出最终结果后，再行四舍五入保留两位小数。）</w:t>
            </w:r>
          </w:p>
          <w:p>
            <w:pPr>
              <w:pStyle w:val="4"/>
              <w:spacing w:before="105" w:after="105"/>
              <w:jc w:val="both"/>
            </w:pPr>
            <w:r>
              <w:rPr>
                <w:rFonts w:ascii="仿宋_GB2312" w:hAnsi="仿宋_GB2312" w:eastAsia="仿宋_GB2312" w:cs="仿宋_GB2312"/>
                <w:sz w:val="21"/>
              </w:rPr>
              <w:t>（4）住房公积金：按照国家法定要求进入费用报价，本项目应分摊的住房公积金年缴纳额=本项目人员年工资总额×比例为5%至12%。</w:t>
            </w:r>
          </w:p>
          <w:p>
            <w:pPr>
              <w:pStyle w:val="4"/>
              <w:spacing w:before="105" w:after="105"/>
              <w:jc w:val="both"/>
            </w:pPr>
            <w:r>
              <w:rPr>
                <w:rFonts w:ascii="仿宋_GB2312" w:hAnsi="仿宋_GB2312" w:eastAsia="仿宋_GB2312" w:cs="仿宋_GB2312"/>
                <w:sz w:val="21"/>
              </w:rPr>
              <w:t>工资总额按“关于工资总额组成的规定（国家统计局令第1号19900101）”执行。</w:t>
            </w:r>
          </w:p>
          <w:p>
            <w:pPr>
              <w:pStyle w:val="4"/>
              <w:spacing w:before="105" w:after="105"/>
              <w:jc w:val="both"/>
            </w:pPr>
            <w:r>
              <w:rPr>
                <w:rFonts w:ascii="仿宋_GB2312" w:hAnsi="仿宋_GB2312" w:eastAsia="仿宋_GB2312" w:cs="仿宋_GB2312"/>
                <w:sz w:val="21"/>
              </w:rPr>
              <w:t>（5）服装费：供应商应为本项目员工全新购置春、夏、秋、冬各1套工作服，费用在分项报价明细表中例明；且按照人均服装总费用不少于本项目人员年工资总额2%进行计算。供应商必须将员工人数、服装套数、单价和小计总价的费用在投标文件中体现并计入本项目成本（不得以库存、免费或赠予减少投标报价。）</w:t>
            </w:r>
          </w:p>
          <w:p>
            <w:pPr>
              <w:pStyle w:val="4"/>
              <w:spacing w:before="105" w:after="105"/>
              <w:jc w:val="both"/>
            </w:pPr>
            <w:r>
              <w:rPr>
                <w:rFonts w:ascii="仿宋_GB2312" w:hAnsi="仿宋_GB2312" w:eastAsia="仿宋_GB2312" w:cs="仿宋_GB2312"/>
                <w:sz w:val="21"/>
              </w:rPr>
              <w:t>（6）机具设备及耗材：按招标文件要求报价。</w:t>
            </w:r>
          </w:p>
          <w:p>
            <w:pPr>
              <w:pStyle w:val="4"/>
              <w:spacing w:before="105" w:after="105"/>
              <w:jc w:val="both"/>
            </w:pPr>
            <w:r>
              <w:rPr>
                <w:rFonts w:ascii="仿宋_GB2312" w:hAnsi="仿宋_GB2312" w:eastAsia="仿宋_GB2312" w:cs="仿宋_GB2312"/>
                <w:sz w:val="21"/>
              </w:rPr>
              <w:t>（7）保障性服务临时用工费用：按招标文件要求报价。</w:t>
            </w:r>
          </w:p>
          <w:p>
            <w:pPr>
              <w:pStyle w:val="4"/>
              <w:spacing w:before="105" w:after="105"/>
              <w:jc w:val="both"/>
            </w:pPr>
            <w:r>
              <w:rPr>
                <w:rFonts w:ascii="仿宋_GB2312" w:hAnsi="仿宋_GB2312" w:eastAsia="仿宋_GB2312" w:cs="仿宋_GB2312"/>
                <w:sz w:val="21"/>
              </w:rPr>
              <w:t>（7）物业服务人员体检费：按招标文件要求报价。</w:t>
            </w:r>
          </w:p>
          <w:p>
            <w:pPr>
              <w:pStyle w:val="4"/>
              <w:spacing w:before="105" w:after="105"/>
              <w:jc w:val="both"/>
            </w:pPr>
            <w:r>
              <w:rPr>
                <w:rFonts w:ascii="仿宋_GB2312" w:hAnsi="仿宋_GB2312" w:eastAsia="仿宋_GB2312" w:cs="仿宋_GB2312"/>
                <w:sz w:val="21"/>
              </w:rPr>
              <w:t>（8）采购文件约定投标人承担的其他费用：由投标人按自身经验结合招标文件要求逐一计算报价。</w:t>
            </w:r>
          </w:p>
          <w:p>
            <w:pPr>
              <w:pStyle w:val="4"/>
              <w:spacing w:before="105" w:after="105"/>
              <w:jc w:val="both"/>
            </w:pPr>
            <w:r>
              <w:rPr>
                <w:rFonts w:ascii="仿宋_GB2312" w:hAnsi="仿宋_GB2312" w:eastAsia="仿宋_GB2312" w:cs="仿宋_GB2312"/>
                <w:sz w:val="21"/>
              </w:rPr>
              <w:t>（9）企业管理费：投标人根据自身管理能力综合考虑，并计入总价中。</w:t>
            </w:r>
          </w:p>
          <w:p>
            <w:pPr>
              <w:pStyle w:val="4"/>
              <w:spacing w:before="105" w:after="105"/>
              <w:jc w:val="both"/>
            </w:pPr>
            <w:r>
              <w:rPr>
                <w:rFonts w:ascii="仿宋_GB2312" w:hAnsi="仿宋_GB2312" w:eastAsia="仿宋_GB2312" w:cs="仿宋_GB2312"/>
                <w:sz w:val="21"/>
              </w:rPr>
              <w:t>（10）利润：投标人根据自身管理能力综合考虑，并计入总价中。</w:t>
            </w:r>
          </w:p>
          <w:p>
            <w:pPr>
              <w:pStyle w:val="4"/>
              <w:spacing w:before="105" w:after="105"/>
              <w:jc w:val="both"/>
            </w:pPr>
            <w:r>
              <w:rPr>
                <w:rFonts w:ascii="仿宋_GB2312" w:hAnsi="仿宋_GB2312" w:eastAsia="仿宋_GB2312" w:cs="仿宋_GB2312"/>
                <w:sz w:val="21"/>
              </w:rPr>
              <w:t>（11）税费：以上述费用之和按税费比例计算；税费包括税率及相关费用。（1）增值税：投标人应明确增值税纳税人身份，即明确是增值税一般纳税人还是小规模纳税人，在投标报价中应明确税费比例,并考虑服务期内纳税人身份可能产生的变化。涉及投标人在服务 期内增值税纳税人身份有变化的，应按增值税纳税人身份变化前后进行分段计算，在分项报价明细表中分开体现。若未按要求进行响应的，视为未实质性响应。（提供电子税务系 统增值税纳税人身份资格截图，投标报价明细表中须明确税费比例，未按要求响应的视为未实质性响应）。（2）其他税费，供应商应按国家法律法规规定对其他税费进行计算，并将其计入本项目的总报价中。</w:t>
            </w:r>
          </w:p>
          <w:p>
            <w:pPr>
              <w:pStyle w:val="4"/>
              <w:spacing w:before="105" w:after="105"/>
              <w:jc w:val="both"/>
            </w:pPr>
            <w:r>
              <w:rPr>
                <w:rFonts w:ascii="仿宋_GB2312" w:hAnsi="仿宋_GB2312" w:eastAsia="仿宋_GB2312" w:cs="仿宋_GB2312"/>
                <w:sz w:val="21"/>
              </w:rPr>
              <w:t>3、各分项明细报价以人民币（元）为单位，涉及小数的按四舍五入保留到小数点后2位。</w:t>
            </w:r>
          </w:p>
          <w:p>
            <w:pPr>
              <w:pStyle w:val="4"/>
              <w:jc w:val="both"/>
            </w:pPr>
            <w:r>
              <w:rPr>
                <w:rFonts w:ascii="仿宋_GB2312" w:hAnsi="仿宋_GB2312" w:eastAsia="仿宋_GB2312" w:cs="仿宋_GB2312"/>
                <w:sz w:val="21"/>
              </w:rPr>
              <w:t>4、其它需要说明的事项预防低于成本价处理预防措施：应当按照《中华人民共和国 政府采购法》及《政府采购货物和服务招标投标管理办法》（财政部令第87号）第六十条 、《四川省政府采购评审工作规程（修订）》（川财采[2016]53号）第三十一条等规定提供相关证明材料，证明其报价的合理性，无法证明其报价合理性的，其投标文件、响应文件应当按照无效（投标）处理。在确定中标、成交供应商过程中，采购人通过调查核实供应商确实无偿或低于成本价报价，可能导致无法按照政府采购法律制度规定和政府采购合同约定履约的，可以不确定该供应商作为中标、成交供应商。”</w:t>
            </w:r>
          </w:p>
        </w:tc>
      </w:tr>
    </w:tbl>
    <w:p>
      <w:pPr>
        <w:pStyle w:val="4"/>
        <w:jc w:val="left"/>
        <w:outlineLvl w:val="3"/>
      </w:pPr>
      <w:r>
        <w:rPr>
          <w:rFonts w:ascii="仿宋_GB2312" w:hAnsi="仿宋_GB2312" w:eastAsia="仿宋_GB2312" w:cs="仿宋_GB2312"/>
          <w:b/>
          <w:sz w:val="24"/>
        </w:rPr>
        <w:t>3.3.2.商务要求</w:t>
      </w:r>
    </w:p>
    <w:p>
      <w:pPr>
        <w:pStyle w:val="4"/>
        <w:jc w:val="left"/>
      </w:pPr>
      <w:r>
        <w:rPr>
          <w:rFonts w:ascii="仿宋_GB2312" w:hAnsi="仿宋_GB2312" w:eastAsia="仿宋_GB2312" w:cs="仿宋_GB2312"/>
        </w:rPr>
        <w:t>采购包1：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16"/>
        <w:gridCol w:w="581"/>
        <w:gridCol w:w="1495"/>
        <w:gridCol w:w="5814"/>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pPr>
              <w:pStyle w:val="4"/>
              <w:jc w:val="center"/>
            </w:pPr>
            <w:r>
              <w:rPr>
                <w:rFonts w:ascii="仿宋_GB2312" w:hAnsi="仿宋_GB2312" w:eastAsia="仿宋_GB2312" w:cs="仿宋_GB2312"/>
              </w:rPr>
              <w:t>序号</w:t>
            </w:r>
          </w:p>
        </w:tc>
        <w:tc>
          <w:tcPr>
            <w:tcW w:w="581" w:type="dxa"/>
          </w:tcPr>
          <w:p>
            <w:pPr>
              <w:pStyle w:val="4"/>
              <w:jc w:val="center"/>
            </w:pPr>
            <w:r>
              <w:rPr>
                <w:rFonts w:ascii="仿宋_GB2312" w:hAnsi="仿宋_GB2312" w:eastAsia="仿宋_GB2312" w:cs="仿宋_GB2312"/>
              </w:rPr>
              <w:t>符号标识</w:t>
            </w:r>
          </w:p>
        </w:tc>
        <w:tc>
          <w:tcPr>
            <w:tcW w:w="1495" w:type="dxa"/>
          </w:tcPr>
          <w:p>
            <w:pPr>
              <w:pStyle w:val="4"/>
              <w:jc w:val="center"/>
            </w:pPr>
            <w:r>
              <w:rPr>
                <w:rFonts w:ascii="仿宋_GB2312" w:hAnsi="仿宋_GB2312" w:eastAsia="仿宋_GB2312" w:cs="仿宋_GB2312"/>
              </w:rPr>
              <w:t>商务要求名称</w:t>
            </w:r>
          </w:p>
        </w:tc>
        <w:tc>
          <w:tcPr>
            <w:tcW w:w="5814" w:type="dxa"/>
          </w:tcPr>
          <w:p>
            <w:pPr>
              <w:pStyle w:val="4"/>
              <w:jc w:val="center"/>
            </w:pPr>
            <w:r>
              <w:rPr>
                <w:rFonts w:ascii="仿宋_GB2312" w:hAnsi="仿宋_GB2312" w:eastAsia="仿宋_GB2312" w:cs="仿宋_GB2312"/>
              </w:rPr>
              <w:t>商务要求内容</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pPr>
              <w:pStyle w:val="4"/>
              <w:jc w:val="center"/>
            </w:pPr>
            <w:r>
              <w:rPr>
                <w:rFonts w:ascii="仿宋_GB2312" w:hAnsi="仿宋_GB2312" w:eastAsia="仿宋_GB2312" w:cs="仿宋_GB2312"/>
              </w:rPr>
              <w:t>1</w:t>
            </w:r>
          </w:p>
        </w:tc>
        <w:tc>
          <w:tcPr>
            <w:tcW w:w="581" w:type="dxa"/>
          </w:tcPr>
          <w:p>
            <w:pPr>
              <w:pStyle w:val="4"/>
              <w:jc w:val="center"/>
            </w:pPr>
            <w:r>
              <w:rPr>
                <w:rFonts w:ascii="仿宋_GB2312" w:hAnsi="仿宋_GB2312" w:eastAsia="仿宋_GB2312" w:cs="仿宋_GB2312"/>
              </w:rPr>
              <w:t>★</w:t>
            </w:r>
          </w:p>
        </w:tc>
        <w:tc>
          <w:tcPr>
            <w:tcW w:w="1495" w:type="dxa"/>
          </w:tcPr>
          <w:p>
            <w:pPr>
              <w:pStyle w:val="4"/>
              <w:jc w:val="left"/>
            </w:pPr>
            <w:r>
              <w:rPr>
                <w:rFonts w:ascii="仿宋_GB2312" w:hAnsi="仿宋_GB2312" w:eastAsia="仿宋_GB2312" w:cs="仿宋_GB2312"/>
              </w:rPr>
              <w:t>服务期限</w:t>
            </w:r>
          </w:p>
        </w:tc>
        <w:tc>
          <w:tcPr>
            <w:tcW w:w="5814" w:type="dxa"/>
          </w:tcPr>
          <w:p>
            <w:pPr>
              <w:pStyle w:val="4"/>
              <w:jc w:val="left"/>
            </w:pPr>
            <w:r>
              <w:rPr>
                <w:rFonts w:ascii="仿宋_GB2312" w:hAnsi="仿宋_GB2312" w:eastAsia="仿宋_GB2312" w:cs="仿宋_GB2312"/>
              </w:rPr>
              <w:t>自合同签订之日起365日</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pPr>
              <w:pStyle w:val="4"/>
              <w:jc w:val="center"/>
            </w:pPr>
            <w:r>
              <w:rPr>
                <w:rFonts w:ascii="仿宋_GB2312" w:hAnsi="仿宋_GB2312" w:eastAsia="仿宋_GB2312" w:cs="仿宋_GB2312"/>
              </w:rPr>
              <w:t>2</w:t>
            </w:r>
          </w:p>
        </w:tc>
        <w:tc>
          <w:tcPr>
            <w:tcW w:w="581" w:type="dxa"/>
          </w:tcPr>
          <w:p>
            <w:pPr>
              <w:pStyle w:val="4"/>
              <w:jc w:val="center"/>
            </w:pPr>
            <w:r>
              <w:rPr>
                <w:rFonts w:ascii="仿宋_GB2312" w:hAnsi="仿宋_GB2312" w:eastAsia="仿宋_GB2312" w:cs="仿宋_GB2312"/>
              </w:rPr>
              <w:t>★</w:t>
            </w:r>
          </w:p>
        </w:tc>
        <w:tc>
          <w:tcPr>
            <w:tcW w:w="1495" w:type="dxa"/>
          </w:tcPr>
          <w:p>
            <w:pPr>
              <w:pStyle w:val="4"/>
              <w:jc w:val="left"/>
            </w:pPr>
            <w:r>
              <w:rPr>
                <w:rFonts w:ascii="仿宋_GB2312" w:hAnsi="仿宋_GB2312" w:eastAsia="仿宋_GB2312" w:cs="仿宋_GB2312"/>
              </w:rPr>
              <w:t>服务地点</w:t>
            </w:r>
          </w:p>
        </w:tc>
        <w:tc>
          <w:tcPr>
            <w:tcW w:w="5814" w:type="dxa"/>
          </w:tcPr>
          <w:p>
            <w:pPr>
              <w:pStyle w:val="4"/>
              <w:jc w:val="left"/>
            </w:pPr>
            <w:r>
              <w:rPr>
                <w:rFonts w:ascii="仿宋_GB2312" w:hAnsi="仿宋_GB2312" w:eastAsia="仿宋_GB2312" w:cs="仿宋_GB2312"/>
              </w:rPr>
              <w:t>都江堰市八一聚源高级中学</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pPr>
              <w:pStyle w:val="4"/>
              <w:jc w:val="center"/>
            </w:pPr>
            <w:r>
              <w:rPr>
                <w:rFonts w:ascii="仿宋_GB2312" w:hAnsi="仿宋_GB2312" w:eastAsia="仿宋_GB2312" w:cs="仿宋_GB2312"/>
              </w:rPr>
              <w:t>3</w:t>
            </w:r>
          </w:p>
        </w:tc>
        <w:tc>
          <w:tcPr>
            <w:tcW w:w="581" w:type="dxa"/>
          </w:tcPr>
          <w:p>
            <w:pPr>
              <w:pStyle w:val="4"/>
              <w:jc w:val="center"/>
            </w:pPr>
            <w:r>
              <w:rPr>
                <w:rFonts w:ascii="仿宋_GB2312" w:hAnsi="仿宋_GB2312" w:eastAsia="仿宋_GB2312" w:cs="仿宋_GB2312"/>
              </w:rPr>
              <w:t>★</w:t>
            </w:r>
          </w:p>
        </w:tc>
        <w:tc>
          <w:tcPr>
            <w:tcW w:w="1495" w:type="dxa"/>
          </w:tcPr>
          <w:p>
            <w:pPr>
              <w:pStyle w:val="4"/>
              <w:jc w:val="left"/>
            </w:pPr>
            <w:r>
              <w:rPr>
                <w:rFonts w:ascii="仿宋_GB2312" w:hAnsi="仿宋_GB2312" w:eastAsia="仿宋_GB2312" w:cs="仿宋_GB2312"/>
              </w:rPr>
              <w:t>验收、交付标准和方法</w:t>
            </w:r>
          </w:p>
        </w:tc>
        <w:tc>
          <w:tcPr>
            <w:tcW w:w="5814" w:type="dxa"/>
          </w:tcPr>
          <w:p>
            <w:pPr>
              <w:pStyle w:val="4"/>
              <w:jc w:val="left"/>
            </w:pPr>
            <w:r>
              <w:rPr>
                <w:rFonts w:ascii="仿宋_GB2312" w:hAnsi="仿宋_GB2312" w:eastAsia="仿宋_GB2312" w:cs="仿宋_GB2312"/>
              </w:rPr>
              <w:t>按照都江堰市八一聚源高级中学物业服务质量考核办法及标准量化考核。 考核标准： 1、每月考核得分90分以上（含90分）不扣当月服务费；得分80分-90分（含80分）之间扣当月服务费2000元；得分70分-80分（含70分）之间扣当月服务费4000元；得分60分-70分（含60分）之间扣当月服务费8000元；得分60分以下扣当月服务费20000元，并向物管公司发出整改通知书，限期整改，如果连续2个月得分60分以下，将终止与物管公司的服务合同（详见附件）。每月考核后，甲方根据考核结果与已经进行结算，甲方在收到乙方出具的当月金额的发票后，通过支付程序向乙方进行支付。 2、因管理不到位，物管人员处置不当或不及时发生事故，扣5-10分；发生安全责任事故，按照相关法律法规处理。</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pPr>
              <w:pStyle w:val="4"/>
              <w:jc w:val="center"/>
            </w:pPr>
            <w:r>
              <w:rPr>
                <w:rFonts w:ascii="仿宋_GB2312" w:hAnsi="仿宋_GB2312" w:eastAsia="仿宋_GB2312" w:cs="仿宋_GB2312"/>
              </w:rPr>
              <w:t>4</w:t>
            </w:r>
          </w:p>
        </w:tc>
        <w:tc>
          <w:tcPr>
            <w:tcW w:w="581" w:type="dxa"/>
          </w:tcPr>
          <w:p>
            <w:pPr>
              <w:pStyle w:val="4"/>
              <w:jc w:val="center"/>
            </w:pPr>
            <w:r>
              <w:rPr>
                <w:rFonts w:ascii="仿宋_GB2312" w:hAnsi="仿宋_GB2312" w:eastAsia="仿宋_GB2312" w:cs="仿宋_GB2312"/>
              </w:rPr>
              <w:t>★</w:t>
            </w:r>
          </w:p>
        </w:tc>
        <w:tc>
          <w:tcPr>
            <w:tcW w:w="1495" w:type="dxa"/>
          </w:tcPr>
          <w:p>
            <w:pPr>
              <w:pStyle w:val="4"/>
              <w:jc w:val="left"/>
            </w:pPr>
            <w:r>
              <w:rPr>
                <w:rFonts w:ascii="仿宋_GB2312" w:hAnsi="仿宋_GB2312" w:eastAsia="仿宋_GB2312" w:cs="仿宋_GB2312"/>
              </w:rPr>
              <w:t>支付方式</w:t>
            </w:r>
          </w:p>
        </w:tc>
        <w:tc>
          <w:tcPr>
            <w:tcW w:w="5814" w:type="dxa"/>
          </w:tcPr>
          <w:p>
            <w:pPr>
              <w:pStyle w:val="4"/>
              <w:jc w:val="left"/>
            </w:pPr>
            <w:r>
              <w:rPr>
                <w:rFonts w:ascii="仿宋_GB2312" w:hAnsi="仿宋_GB2312" w:eastAsia="仿宋_GB2312" w:cs="仿宋_GB2312"/>
              </w:rPr>
              <w:t>分期付款</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pPr>
              <w:pStyle w:val="4"/>
              <w:jc w:val="center"/>
            </w:pPr>
            <w:r>
              <w:rPr>
                <w:rFonts w:ascii="仿宋_GB2312" w:hAnsi="仿宋_GB2312" w:eastAsia="仿宋_GB2312" w:cs="仿宋_GB2312"/>
              </w:rPr>
              <w:t>5</w:t>
            </w:r>
          </w:p>
        </w:tc>
        <w:tc>
          <w:tcPr>
            <w:tcW w:w="581" w:type="dxa"/>
          </w:tcPr>
          <w:p>
            <w:pPr>
              <w:pStyle w:val="4"/>
              <w:jc w:val="center"/>
            </w:pPr>
            <w:r>
              <w:rPr>
                <w:rFonts w:ascii="仿宋_GB2312" w:hAnsi="仿宋_GB2312" w:eastAsia="仿宋_GB2312" w:cs="仿宋_GB2312"/>
              </w:rPr>
              <w:t>★</w:t>
            </w:r>
          </w:p>
        </w:tc>
        <w:tc>
          <w:tcPr>
            <w:tcW w:w="1495" w:type="dxa"/>
          </w:tcPr>
          <w:p>
            <w:pPr>
              <w:pStyle w:val="4"/>
              <w:jc w:val="left"/>
            </w:pPr>
            <w:r>
              <w:rPr>
                <w:rFonts w:ascii="仿宋_GB2312" w:hAnsi="仿宋_GB2312" w:eastAsia="仿宋_GB2312" w:cs="仿宋_GB2312"/>
              </w:rPr>
              <w:t>付款进度安排</w:t>
            </w:r>
          </w:p>
        </w:tc>
        <w:tc>
          <w:tcPr>
            <w:tcW w:w="5814" w:type="dxa"/>
          </w:tcPr>
          <w:p>
            <w:pPr>
              <w:pStyle w:val="4"/>
              <w:jc w:val="left"/>
            </w:pPr>
            <w:r>
              <w:rPr>
                <w:rFonts w:ascii="仿宋_GB2312" w:hAnsi="仿宋_GB2312" w:eastAsia="仿宋_GB2312" w:cs="仿宋_GB2312"/>
              </w:rPr>
              <w:t>1、经学校按照考核标准考评得出第一次考评结论，达到付款条件起30日内，支付合同总金额的8.33%</w:t>
            </w:r>
          </w:p>
          <w:p>
            <w:pPr>
              <w:pStyle w:val="4"/>
              <w:jc w:val="left"/>
            </w:pPr>
            <w:r>
              <w:rPr>
                <w:rFonts w:ascii="仿宋_GB2312" w:hAnsi="仿宋_GB2312" w:eastAsia="仿宋_GB2312" w:cs="仿宋_GB2312"/>
              </w:rPr>
              <w:t>2、经学校按照考核标准考评得出第二次考评结论，达到付款条件起30日内，支付合同总金额的8.33%</w:t>
            </w:r>
          </w:p>
          <w:p>
            <w:pPr>
              <w:pStyle w:val="4"/>
              <w:jc w:val="left"/>
            </w:pPr>
            <w:r>
              <w:rPr>
                <w:rFonts w:ascii="仿宋_GB2312" w:hAnsi="仿宋_GB2312" w:eastAsia="仿宋_GB2312" w:cs="仿宋_GB2312"/>
              </w:rPr>
              <w:t>3、经学校按照考核标准考评得出第三次考评结论，达到付款条件起30日内，支付合同总金额的8.33%</w:t>
            </w:r>
          </w:p>
          <w:p>
            <w:pPr>
              <w:pStyle w:val="4"/>
              <w:jc w:val="left"/>
            </w:pPr>
            <w:r>
              <w:rPr>
                <w:rFonts w:ascii="仿宋_GB2312" w:hAnsi="仿宋_GB2312" w:eastAsia="仿宋_GB2312" w:cs="仿宋_GB2312"/>
              </w:rPr>
              <w:t>4、经学校按照考核标准考评得出第四次考评结论，达到付款条件起30日内，支付合同总金额的8.33%</w:t>
            </w:r>
          </w:p>
          <w:p>
            <w:pPr>
              <w:pStyle w:val="4"/>
              <w:jc w:val="left"/>
            </w:pPr>
            <w:r>
              <w:rPr>
                <w:rFonts w:ascii="仿宋_GB2312" w:hAnsi="仿宋_GB2312" w:eastAsia="仿宋_GB2312" w:cs="仿宋_GB2312"/>
              </w:rPr>
              <w:t>5、经学校按照考核标准考评得出第五次考评结论，达到付款条件起30日内，支付合同总金额的8.33%</w:t>
            </w:r>
          </w:p>
          <w:p>
            <w:pPr>
              <w:pStyle w:val="4"/>
              <w:jc w:val="left"/>
            </w:pPr>
            <w:r>
              <w:rPr>
                <w:rFonts w:ascii="仿宋_GB2312" w:hAnsi="仿宋_GB2312" w:eastAsia="仿宋_GB2312" w:cs="仿宋_GB2312"/>
              </w:rPr>
              <w:t>6、经学校按照考核标准考评得出第六次考评结论，达到付款条件起30日内，支付合同总金额的8.33%</w:t>
            </w:r>
          </w:p>
          <w:p>
            <w:pPr>
              <w:pStyle w:val="4"/>
              <w:jc w:val="left"/>
            </w:pPr>
            <w:r>
              <w:rPr>
                <w:rFonts w:ascii="仿宋_GB2312" w:hAnsi="仿宋_GB2312" w:eastAsia="仿宋_GB2312" w:cs="仿宋_GB2312"/>
              </w:rPr>
              <w:t>7、经学校按照考核标准考评得出第七次考评结论，达到付款条件起30日内，支付合同总金额的8.33%</w:t>
            </w:r>
          </w:p>
          <w:p>
            <w:pPr>
              <w:pStyle w:val="4"/>
              <w:jc w:val="left"/>
            </w:pPr>
            <w:r>
              <w:rPr>
                <w:rFonts w:ascii="仿宋_GB2312" w:hAnsi="仿宋_GB2312" w:eastAsia="仿宋_GB2312" w:cs="仿宋_GB2312"/>
              </w:rPr>
              <w:t>8、经学校按照考核标准考评得出第八次考评结论，达到付款条件起30日内，支付合同总金额的8.33%</w:t>
            </w:r>
          </w:p>
          <w:p>
            <w:pPr>
              <w:pStyle w:val="4"/>
              <w:jc w:val="left"/>
            </w:pPr>
            <w:r>
              <w:rPr>
                <w:rFonts w:ascii="仿宋_GB2312" w:hAnsi="仿宋_GB2312" w:eastAsia="仿宋_GB2312" w:cs="仿宋_GB2312"/>
              </w:rPr>
              <w:t>9、经学校按照考核标准考评得出第九次考评结论，达到付款条件起30日内，支付合同总金额的8.33%</w:t>
            </w:r>
          </w:p>
          <w:p>
            <w:pPr>
              <w:pStyle w:val="4"/>
              <w:jc w:val="left"/>
            </w:pPr>
            <w:r>
              <w:rPr>
                <w:rFonts w:ascii="仿宋_GB2312" w:hAnsi="仿宋_GB2312" w:eastAsia="仿宋_GB2312" w:cs="仿宋_GB2312"/>
              </w:rPr>
              <w:t>10、经学校按照考核标准考评得出第十次考评结论，达到付款条件起30日内，支付合同总金额的8.33%</w:t>
            </w:r>
          </w:p>
          <w:p>
            <w:pPr>
              <w:pStyle w:val="4"/>
              <w:jc w:val="left"/>
            </w:pPr>
            <w:r>
              <w:rPr>
                <w:rFonts w:ascii="仿宋_GB2312" w:hAnsi="仿宋_GB2312" w:eastAsia="仿宋_GB2312" w:cs="仿宋_GB2312"/>
              </w:rPr>
              <w:t>11、经学校按照考核标准考评得出第十一次考评结论，达到付款条件起30日内，支付合同总金额的8.33%</w:t>
            </w:r>
          </w:p>
          <w:p>
            <w:pPr>
              <w:pStyle w:val="4"/>
              <w:jc w:val="left"/>
            </w:pPr>
            <w:r>
              <w:rPr>
                <w:rFonts w:ascii="仿宋_GB2312" w:hAnsi="仿宋_GB2312" w:eastAsia="仿宋_GB2312" w:cs="仿宋_GB2312"/>
              </w:rPr>
              <w:t>12、经学校按照考核标准考评得出第十二次考评结论，达到付款条件起30日内，支付合同总金额的8.37%</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pPr>
              <w:pStyle w:val="4"/>
              <w:jc w:val="center"/>
            </w:pPr>
            <w:r>
              <w:rPr>
                <w:rFonts w:ascii="仿宋_GB2312" w:hAnsi="仿宋_GB2312" w:eastAsia="仿宋_GB2312" w:cs="仿宋_GB2312"/>
              </w:rPr>
              <w:t>6</w:t>
            </w:r>
          </w:p>
        </w:tc>
        <w:tc>
          <w:tcPr>
            <w:tcW w:w="581" w:type="dxa"/>
          </w:tcPr>
          <w:p>
            <w:pPr>
              <w:pStyle w:val="4"/>
              <w:jc w:val="center"/>
            </w:pPr>
            <w:r>
              <w:rPr>
                <w:rFonts w:ascii="仿宋_GB2312" w:hAnsi="仿宋_GB2312" w:eastAsia="仿宋_GB2312" w:cs="仿宋_GB2312"/>
              </w:rPr>
              <w:t>★</w:t>
            </w:r>
          </w:p>
        </w:tc>
        <w:tc>
          <w:tcPr>
            <w:tcW w:w="1495" w:type="dxa"/>
          </w:tcPr>
          <w:p>
            <w:pPr>
              <w:pStyle w:val="4"/>
              <w:jc w:val="left"/>
            </w:pPr>
            <w:r>
              <w:rPr>
                <w:rFonts w:ascii="仿宋_GB2312" w:hAnsi="仿宋_GB2312" w:eastAsia="仿宋_GB2312" w:cs="仿宋_GB2312"/>
              </w:rPr>
              <w:t>违约责任与解决争议的方法</w:t>
            </w:r>
          </w:p>
        </w:tc>
        <w:tc>
          <w:tcPr>
            <w:tcW w:w="5814" w:type="dxa"/>
          </w:tcPr>
          <w:p>
            <w:pPr>
              <w:pStyle w:val="4"/>
              <w:jc w:val="left"/>
            </w:pPr>
            <w:r>
              <w:rPr>
                <w:rFonts w:ascii="仿宋_GB2312" w:hAnsi="仿宋_GB2312" w:eastAsia="仿宋_GB2312" w:cs="仿宋_GB2312"/>
              </w:rPr>
              <w:t>违约责任：（一）双方必须遵守本合同并执行合同中的各项规定，保证本合同的正常履行。 （二）如因供应商工作人员在履行职务过程中的疏忽、失职、过错等故意或过失原因给采购人造成损失或侵害，包括但不限于采购人本身的财产损失、由此而导致的采购人对任何第三方的法律责任等，供应商对此均应承担全部赔偿责任。 （三）不可抗事件处理 1、在合同有效期内，任何一方因不可抗事件导致不能履行合同，则合同履行期可延长，其延长期与不可抗影响期相同。 2、受阻一方应在不可抗事件发生后尽快用电话通知对方并于事故发生后30天内将有关部门出具的证明文件等用特快专递或挂号信寄给对方审阅确认。 3、不可抗事件延续30天以上，双方应通过友好协商，确定是否继续履行合同。 解决争议的方法： 本合同在履行中如发生争议（如发生重大安全事故等），双方应协商解决，协商不成的，双方同意按下列第〔2〕方式解决： 1、提交仲裁委员会仲裁； 2、依法向采购人所在地人民法院起诉。</w:t>
            </w:r>
          </w:p>
        </w:tc>
      </w:tr>
    </w:tbl>
    <w:p>
      <w:pPr>
        <w:pStyle w:val="4"/>
        <w:jc w:val="left"/>
        <w:outlineLvl w:val="2"/>
      </w:pPr>
      <w:r>
        <w:rPr>
          <w:rFonts w:ascii="仿宋_GB2312" w:hAnsi="仿宋_GB2312" w:eastAsia="仿宋_GB2312" w:cs="仿宋_GB2312"/>
          <w:b/>
          <w:sz w:val="28"/>
        </w:rPr>
        <w:t>3.4.其他要求</w:t>
      </w:r>
    </w:p>
    <w:p>
      <w:pPr>
        <w:pStyle w:val="4"/>
        <w:ind w:firstLine="480"/>
        <w:jc w:val="left"/>
      </w:pPr>
      <w:r>
        <w:rPr>
          <w:rFonts w:ascii="仿宋_GB2312" w:hAnsi="仿宋_GB2312" w:eastAsia="仿宋_GB2312" w:cs="仿宋_GB2312"/>
        </w:rPr>
        <w:t>采购包1：</w:t>
      </w:r>
    </w:p>
    <w:p>
      <w:pPr>
        <w:pStyle w:val="4"/>
        <w:jc w:val="left"/>
      </w:pPr>
      <w:r>
        <w:rPr>
          <w:rFonts w:ascii="仿宋_GB2312" w:hAnsi="仿宋_GB2312" w:eastAsia="仿宋_GB2312" w:cs="仿宋_GB2312"/>
        </w:rPr>
        <w:t>本章带“★”内容为实质性要求，不允许有负偏离，须按要求提供证明材料或承诺函，未明确要求的，在服务应答表中应答或响应即可。</w:t>
      </w:r>
    </w:p>
    <w:p>
      <w:pPr>
        <w:pStyle w:val="4"/>
      </w:pPr>
      <w:r>
        <w:rPr>
          <w:rFonts w:ascii="仿宋_GB2312" w:hAnsi="仿宋_GB2312" w:eastAsia="仿宋_GB2312" w:cs="仿宋_GB2312"/>
        </w:rPr>
        <w:t xml:space="preserve"> </w:t>
      </w:r>
      <w:r>
        <w:rPr>
          <w:rFonts w:ascii="仿宋_GB2312" w:hAnsi="仿宋_GB2312" w:eastAsia="仿宋_GB2312" w:cs="仿宋_GB2312"/>
        </w:rPr>
        <w:br w:type="textWrapping"/>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34B4798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 w:type="paragraph" w:customStyle="1" w:styleId="4">
    <w:name w:val="null3"/>
    <w:hidden/>
    <w:uiPriority w:val="0"/>
    <w:rPr>
      <w:rFonts w:hint="eastAsia" w:asciiTheme="minorHAnsi" w:hAnsiTheme="minorHAnsi" w:eastAsiaTheme="minorEastAsia" w:cstheme="minorBidi"/>
      <w:lang w:val="en-US" w:eastAsia="zh-Hans"/>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Office_11.8.2.10912_F1E327BC-269C-435d-A152-05C5408002CA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2025-04-03T06:02:05Z</dcterms:created>
  <dc:creator>zizhuzuo1</dc:creator>
  <cp:lastModifiedBy>zizhuzuo1</cp:lastModifiedBy>
  <dcterms:modified xsi:type="dcterms:W3CDTF">2025-04-03T06:02:18Z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2052-11.8.2.10912</vt:lpwstr>
  </property>
  <property fmtid="{D5CDD505-2E9C-101B-9397-08002B2CF9AE}" pid="3" name="ICV">
    <vt:lpwstr>207411AF99DD4C1C8FEF8CA2A76CBF2A</vt:lpwstr>
  </property>
</Properties>
</file>