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BE39B0">
      <w:pPr>
        <w:pStyle w:val="5"/>
        <w:jc w:val="center"/>
        <w:outlineLvl w:val="1"/>
      </w:pPr>
      <w:r>
        <w:rPr>
          <w:rFonts w:ascii="仿宋_GB2312" w:hAnsi="仿宋_GB2312" w:eastAsia="仿宋_GB2312" w:cs="仿宋_GB2312"/>
          <w:b/>
          <w:sz w:val="36"/>
        </w:rPr>
        <w:t>第三章 技术、服务及其他要求</w:t>
      </w:r>
    </w:p>
    <w:p w14:paraId="35030BD1">
      <w:pPr>
        <w:pStyle w:val="5"/>
        <w:ind w:firstLine="480"/>
        <w:jc w:val="left"/>
      </w:pPr>
      <w:r>
        <w:rPr>
          <w:rFonts w:ascii="仿宋_GB2312" w:hAnsi="仿宋_GB2312" w:eastAsia="仿宋_GB2312" w:cs="仿宋_GB2312"/>
        </w:rPr>
        <w:t>（注：本章的技术、服务及其他要求中，带“★”的要求为实质性要求。采购人、代理机构应当根据项目实际要求合理设定，并在第五章符合性审查中明确响应要求。）</w:t>
      </w:r>
    </w:p>
    <w:p w14:paraId="33F89F8C">
      <w:pPr>
        <w:pStyle w:val="5"/>
        <w:jc w:val="left"/>
        <w:outlineLvl w:val="2"/>
      </w:pPr>
      <w:r>
        <w:rPr>
          <w:rFonts w:ascii="仿宋_GB2312" w:hAnsi="仿宋_GB2312" w:eastAsia="仿宋_GB2312" w:cs="仿宋_GB2312"/>
          <w:b/>
          <w:sz w:val="28"/>
        </w:rPr>
        <w:t>3.1.采购内容</w:t>
      </w:r>
    </w:p>
    <w:p w14:paraId="138C2158">
      <w:pPr>
        <w:pStyle w:val="5"/>
        <w:jc w:val="left"/>
      </w:pPr>
      <w:r>
        <w:rPr>
          <w:rFonts w:ascii="仿宋_GB2312" w:hAnsi="仿宋_GB2312" w:eastAsia="仿宋_GB2312" w:cs="仿宋_GB2312"/>
        </w:rPr>
        <w:t>采购包1：</w:t>
      </w:r>
    </w:p>
    <w:p w14:paraId="77EF8CC7">
      <w:pPr>
        <w:pStyle w:val="5"/>
        <w:jc w:val="left"/>
      </w:pPr>
      <w:r>
        <w:rPr>
          <w:rFonts w:ascii="仿宋_GB2312" w:hAnsi="仿宋_GB2312" w:eastAsia="仿宋_GB2312" w:cs="仿宋_GB2312"/>
        </w:rPr>
        <w:t>采购包预算金额（元）: 46,770,000.00</w:t>
      </w:r>
    </w:p>
    <w:p w14:paraId="50245D7F">
      <w:pPr>
        <w:pStyle w:val="5"/>
        <w:jc w:val="left"/>
      </w:pPr>
      <w:r>
        <w:rPr>
          <w:rFonts w:ascii="仿宋_GB2312" w:hAnsi="仿宋_GB2312" w:eastAsia="仿宋_GB2312" w:cs="仿宋_GB2312"/>
        </w:rPr>
        <w:t>采购包最高限价（元）: 46,770,000.00</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43"/>
        <w:gridCol w:w="1116"/>
        <w:gridCol w:w="753"/>
        <w:gridCol w:w="819"/>
        <w:gridCol w:w="1516"/>
        <w:gridCol w:w="686"/>
        <w:gridCol w:w="686"/>
        <w:gridCol w:w="686"/>
        <w:gridCol w:w="686"/>
        <w:gridCol w:w="565"/>
        <w:gridCol w:w="566"/>
      </w:tblGrid>
      <w:tr w14:paraId="4EF1D79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6409FEDB">
            <w:pPr>
              <w:pStyle w:val="5"/>
              <w:jc w:val="center"/>
            </w:pPr>
            <w:r>
              <w:rPr>
                <w:rFonts w:ascii="仿宋_GB2312" w:hAnsi="仿宋_GB2312" w:eastAsia="仿宋_GB2312" w:cs="仿宋_GB2312"/>
              </w:rPr>
              <w:t>序号</w:t>
            </w:r>
          </w:p>
        </w:tc>
        <w:tc>
          <w:tcPr>
            <w:tcW w:w="821" w:type="dxa"/>
          </w:tcPr>
          <w:p w14:paraId="490F2B05">
            <w:pPr>
              <w:pStyle w:val="5"/>
              <w:jc w:val="center"/>
            </w:pPr>
            <w:r>
              <w:rPr>
                <w:rFonts w:ascii="仿宋_GB2312" w:hAnsi="仿宋_GB2312" w:eastAsia="仿宋_GB2312" w:cs="仿宋_GB2312"/>
              </w:rPr>
              <w:t>采购品目名称</w:t>
            </w:r>
          </w:p>
        </w:tc>
        <w:tc>
          <w:tcPr>
            <w:tcW w:w="821" w:type="dxa"/>
          </w:tcPr>
          <w:p w14:paraId="149C92D5">
            <w:pPr>
              <w:pStyle w:val="5"/>
              <w:jc w:val="center"/>
            </w:pPr>
            <w:r>
              <w:rPr>
                <w:rFonts w:ascii="仿宋_GB2312" w:hAnsi="仿宋_GB2312" w:eastAsia="仿宋_GB2312" w:cs="仿宋_GB2312"/>
              </w:rPr>
              <w:t>标的名称</w:t>
            </w:r>
          </w:p>
        </w:tc>
        <w:tc>
          <w:tcPr>
            <w:tcW w:w="821" w:type="dxa"/>
          </w:tcPr>
          <w:p w14:paraId="6ECED1A8">
            <w:pPr>
              <w:pStyle w:val="5"/>
              <w:jc w:val="center"/>
            </w:pPr>
            <w:r>
              <w:rPr>
                <w:rFonts w:ascii="仿宋_GB2312" w:hAnsi="仿宋_GB2312" w:eastAsia="仿宋_GB2312" w:cs="仿宋_GB2312"/>
              </w:rPr>
              <w:t>数量</w:t>
            </w:r>
            <w:r>
              <w:br w:type="textWrapping"/>
            </w:r>
            <w:r>
              <w:rPr>
                <w:rFonts w:ascii="仿宋_GB2312" w:hAnsi="仿宋_GB2312" w:eastAsia="仿宋_GB2312" w:cs="仿宋_GB2312"/>
              </w:rPr>
              <w:t>(计量单位)</w:t>
            </w:r>
          </w:p>
        </w:tc>
        <w:tc>
          <w:tcPr>
            <w:tcW w:w="821" w:type="dxa"/>
          </w:tcPr>
          <w:p w14:paraId="3F52ACEB">
            <w:pPr>
              <w:pStyle w:val="5"/>
              <w:jc w:val="center"/>
            </w:pPr>
            <w:r>
              <w:rPr>
                <w:rFonts w:ascii="仿宋_GB2312" w:hAnsi="仿宋_GB2312" w:eastAsia="仿宋_GB2312" w:cs="仿宋_GB2312"/>
              </w:rPr>
              <w:t>标的金额 （元）</w:t>
            </w:r>
          </w:p>
        </w:tc>
        <w:tc>
          <w:tcPr>
            <w:tcW w:w="821" w:type="dxa"/>
          </w:tcPr>
          <w:p w14:paraId="4CF4AF84">
            <w:pPr>
              <w:pStyle w:val="5"/>
              <w:jc w:val="center"/>
            </w:pPr>
            <w:r>
              <w:rPr>
                <w:rFonts w:ascii="仿宋_GB2312" w:hAnsi="仿宋_GB2312" w:eastAsia="仿宋_GB2312" w:cs="仿宋_GB2312"/>
              </w:rPr>
              <w:t>所属行业</w:t>
            </w:r>
          </w:p>
        </w:tc>
        <w:tc>
          <w:tcPr>
            <w:tcW w:w="821" w:type="dxa"/>
          </w:tcPr>
          <w:p w14:paraId="35FF82E1">
            <w:pPr>
              <w:pStyle w:val="5"/>
              <w:jc w:val="center"/>
            </w:pPr>
            <w:r>
              <w:rPr>
                <w:rFonts w:ascii="仿宋_GB2312" w:hAnsi="仿宋_GB2312" w:eastAsia="仿宋_GB2312" w:cs="仿宋_GB2312"/>
              </w:rPr>
              <w:t>是否涉及核心产品</w:t>
            </w:r>
          </w:p>
        </w:tc>
        <w:tc>
          <w:tcPr>
            <w:tcW w:w="821" w:type="dxa"/>
          </w:tcPr>
          <w:p w14:paraId="5D54E2B0">
            <w:pPr>
              <w:pStyle w:val="5"/>
              <w:jc w:val="center"/>
            </w:pPr>
            <w:r>
              <w:rPr>
                <w:rFonts w:ascii="仿宋_GB2312" w:hAnsi="仿宋_GB2312" w:eastAsia="仿宋_GB2312" w:cs="仿宋_GB2312"/>
              </w:rPr>
              <w:t>是否涉及采购进口产品</w:t>
            </w:r>
          </w:p>
        </w:tc>
        <w:tc>
          <w:tcPr>
            <w:tcW w:w="821" w:type="dxa"/>
          </w:tcPr>
          <w:p w14:paraId="5A6468A4">
            <w:pPr>
              <w:pStyle w:val="5"/>
              <w:jc w:val="center"/>
            </w:pPr>
            <w:r>
              <w:rPr>
                <w:rFonts w:ascii="仿宋_GB2312" w:hAnsi="仿宋_GB2312" w:eastAsia="仿宋_GB2312" w:cs="仿宋_GB2312"/>
              </w:rPr>
              <w:t>是否涉及强制采购节能产品</w:t>
            </w:r>
          </w:p>
        </w:tc>
        <w:tc>
          <w:tcPr>
            <w:tcW w:w="639" w:type="dxa"/>
          </w:tcPr>
          <w:p w14:paraId="20D3D06D">
            <w:pPr>
              <w:pStyle w:val="5"/>
              <w:jc w:val="center"/>
            </w:pPr>
            <w:r>
              <w:rPr>
                <w:rFonts w:ascii="仿宋_GB2312" w:hAnsi="仿宋_GB2312" w:eastAsia="仿宋_GB2312" w:cs="仿宋_GB2312"/>
              </w:rPr>
              <w:t>是否涉及优先采购节能产品</w:t>
            </w:r>
          </w:p>
        </w:tc>
        <w:tc>
          <w:tcPr>
            <w:tcW w:w="639" w:type="dxa"/>
          </w:tcPr>
          <w:p w14:paraId="50E30C64">
            <w:pPr>
              <w:pStyle w:val="5"/>
              <w:jc w:val="center"/>
            </w:pPr>
            <w:r>
              <w:rPr>
                <w:rFonts w:ascii="仿宋_GB2312" w:hAnsi="仿宋_GB2312" w:eastAsia="仿宋_GB2312" w:cs="仿宋_GB2312"/>
              </w:rPr>
              <w:t>是否涉及优先采购环境标志产品</w:t>
            </w:r>
          </w:p>
        </w:tc>
      </w:tr>
      <w:tr w14:paraId="47AB78F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56" w:type="dxa"/>
          </w:tcPr>
          <w:p w14:paraId="3C0848A0">
            <w:pPr>
              <w:pStyle w:val="5"/>
              <w:jc w:val="left"/>
            </w:pPr>
            <w:r>
              <w:rPr>
                <w:rFonts w:ascii="仿宋_GB2312" w:hAnsi="仿宋_GB2312" w:eastAsia="仿宋_GB2312" w:cs="仿宋_GB2312"/>
              </w:rPr>
              <w:t>1</w:t>
            </w:r>
          </w:p>
        </w:tc>
        <w:tc>
          <w:tcPr>
            <w:tcW w:w="821" w:type="dxa"/>
          </w:tcPr>
          <w:p w14:paraId="1B632FFE">
            <w:pPr>
              <w:pStyle w:val="5"/>
              <w:jc w:val="left"/>
            </w:pPr>
            <w:r>
              <w:rPr>
                <w:rFonts w:ascii="仿宋_GB2312" w:hAnsi="仿宋_GB2312" w:eastAsia="仿宋_GB2312" w:cs="仿宋_GB2312"/>
              </w:rPr>
              <w:t>C13050100 清扫服务</w:t>
            </w:r>
          </w:p>
        </w:tc>
        <w:tc>
          <w:tcPr>
            <w:tcW w:w="821" w:type="dxa"/>
          </w:tcPr>
          <w:p w14:paraId="521A3FEE">
            <w:pPr>
              <w:pStyle w:val="5"/>
              <w:jc w:val="left"/>
            </w:pPr>
            <w:r>
              <w:rPr>
                <w:rFonts w:ascii="仿宋_GB2312" w:hAnsi="仿宋_GB2312" w:eastAsia="仿宋_GB2312" w:cs="仿宋_GB2312"/>
              </w:rPr>
              <w:t>马边彝族自治县农村生活垃圾“收转运”和城乡生活垃圾转运乐山项目（第三轮）</w:t>
            </w:r>
          </w:p>
        </w:tc>
        <w:tc>
          <w:tcPr>
            <w:tcW w:w="821" w:type="dxa"/>
          </w:tcPr>
          <w:p w14:paraId="54107EA9">
            <w:pPr>
              <w:pStyle w:val="5"/>
              <w:jc w:val="right"/>
            </w:pPr>
            <w:r>
              <w:rPr>
                <w:rFonts w:ascii="仿宋_GB2312" w:hAnsi="仿宋_GB2312" w:eastAsia="仿宋_GB2312" w:cs="仿宋_GB2312"/>
              </w:rPr>
              <w:t>1.00（项）</w:t>
            </w:r>
          </w:p>
        </w:tc>
        <w:tc>
          <w:tcPr>
            <w:tcW w:w="821" w:type="dxa"/>
          </w:tcPr>
          <w:p w14:paraId="12245025">
            <w:pPr>
              <w:pStyle w:val="5"/>
              <w:jc w:val="right"/>
            </w:pPr>
            <w:r>
              <w:rPr>
                <w:rFonts w:ascii="仿宋_GB2312" w:hAnsi="仿宋_GB2312" w:eastAsia="仿宋_GB2312" w:cs="仿宋_GB2312"/>
              </w:rPr>
              <w:t>46,770,000.00</w:t>
            </w:r>
          </w:p>
        </w:tc>
        <w:tc>
          <w:tcPr>
            <w:tcW w:w="821" w:type="dxa"/>
          </w:tcPr>
          <w:p w14:paraId="2EA02BEE">
            <w:pPr>
              <w:pStyle w:val="5"/>
              <w:jc w:val="left"/>
            </w:pPr>
            <w:r>
              <w:rPr>
                <w:rFonts w:ascii="仿宋_GB2312" w:hAnsi="仿宋_GB2312" w:eastAsia="仿宋_GB2312" w:cs="仿宋_GB2312"/>
              </w:rPr>
              <w:t>其他未列明行业</w:t>
            </w:r>
          </w:p>
        </w:tc>
        <w:tc>
          <w:tcPr>
            <w:tcW w:w="821" w:type="dxa"/>
          </w:tcPr>
          <w:p w14:paraId="156E2E11">
            <w:pPr>
              <w:pStyle w:val="5"/>
              <w:jc w:val="left"/>
            </w:pPr>
            <w:r>
              <w:rPr>
                <w:rFonts w:ascii="仿宋_GB2312" w:hAnsi="仿宋_GB2312" w:eastAsia="仿宋_GB2312" w:cs="仿宋_GB2312"/>
              </w:rPr>
              <w:t>否</w:t>
            </w:r>
          </w:p>
        </w:tc>
        <w:tc>
          <w:tcPr>
            <w:tcW w:w="821" w:type="dxa"/>
          </w:tcPr>
          <w:p w14:paraId="707AFC35">
            <w:pPr>
              <w:pStyle w:val="5"/>
              <w:jc w:val="left"/>
            </w:pPr>
            <w:r>
              <w:rPr>
                <w:rFonts w:ascii="仿宋_GB2312" w:hAnsi="仿宋_GB2312" w:eastAsia="仿宋_GB2312" w:cs="仿宋_GB2312"/>
              </w:rPr>
              <w:t>否</w:t>
            </w:r>
          </w:p>
        </w:tc>
        <w:tc>
          <w:tcPr>
            <w:tcW w:w="821" w:type="dxa"/>
          </w:tcPr>
          <w:p w14:paraId="46A6EFEE">
            <w:pPr>
              <w:pStyle w:val="5"/>
              <w:jc w:val="left"/>
            </w:pPr>
            <w:r>
              <w:rPr>
                <w:rFonts w:ascii="仿宋_GB2312" w:hAnsi="仿宋_GB2312" w:eastAsia="仿宋_GB2312" w:cs="仿宋_GB2312"/>
              </w:rPr>
              <w:t>否</w:t>
            </w:r>
          </w:p>
        </w:tc>
        <w:tc>
          <w:tcPr>
            <w:tcW w:w="639" w:type="dxa"/>
          </w:tcPr>
          <w:p w14:paraId="47B28207">
            <w:pPr>
              <w:pStyle w:val="5"/>
              <w:jc w:val="left"/>
            </w:pPr>
            <w:r>
              <w:rPr>
                <w:rFonts w:ascii="仿宋_GB2312" w:hAnsi="仿宋_GB2312" w:eastAsia="仿宋_GB2312" w:cs="仿宋_GB2312"/>
              </w:rPr>
              <w:t>否</w:t>
            </w:r>
          </w:p>
        </w:tc>
        <w:tc>
          <w:tcPr>
            <w:tcW w:w="639" w:type="dxa"/>
          </w:tcPr>
          <w:p w14:paraId="3AB88997">
            <w:pPr>
              <w:pStyle w:val="5"/>
              <w:jc w:val="left"/>
            </w:pPr>
            <w:r>
              <w:rPr>
                <w:rFonts w:ascii="仿宋_GB2312" w:hAnsi="仿宋_GB2312" w:eastAsia="仿宋_GB2312" w:cs="仿宋_GB2312"/>
              </w:rPr>
              <w:t>否</w:t>
            </w:r>
          </w:p>
        </w:tc>
      </w:tr>
    </w:tbl>
    <w:p w14:paraId="2176775F">
      <w:pPr>
        <w:pStyle w:val="5"/>
        <w:jc w:val="left"/>
        <w:outlineLvl w:val="3"/>
      </w:pPr>
      <w:r>
        <w:rPr>
          <w:rFonts w:ascii="仿宋_GB2312" w:hAnsi="仿宋_GB2312" w:eastAsia="仿宋_GB2312" w:cs="仿宋_GB2312"/>
          <w:b/>
          <w:sz w:val="24"/>
        </w:rPr>
        <w:t>报价要求</w:t>
      </w:r>
    </w:p>
    <w:p w14:paraId="345D96A3">
      <w:pPr>
        <w:pStyle w:val="5"/>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024"/>
        <w:gridCol w:w="1707"/>
        <w:gridCol w:w="1138"/>
        <w:gridCol w:w="1516"/>
        <w:gridCol w:w="1138"/>
        <w:gridCol w:w="1934"/>
      </w:tblGrid>
      <w:tr w14:paraId="3F549F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6C1D71AD">
            <w:pPr>
              <w:pStyle w:val="5"/>
              <w:jc w:val="center"/>
            </w:pPr>
            <w:r>
              <w:rPr>
                <w:rFonts w:ascii="仿宋_GB2312" w:hAnsi="仿宋_GB2312" w:eastAsia="仿宋_GB2312" w:cs="仿宋_GB2312"/>
              </w:rPr>
              <w:t>序号</w:t>
            </w:r>
          </w:p>
        </w:tc>
        <w:tc>
          <w:tcPr>
            <w:tcW w:w="1707" w:type="dxa"/>
          </w:tcPr>
          <w:p w14:paraId="5D48A77A">
            <w:pPr>
              <w:pStyle w:val="5"/>
              <w:jc w:val="center"/>
            </w:pPr>
            <w:r>
              <w:rPr>
                <w:rFonts w:ascii="仿宋_GB2312" w:hAnsi="仿宋_GB2312" w:eastAsia="仿宋_GB2312" w:cs="仿宋_GB2312"/>
              </w:rPr>
              <w:t>报价内容</w:t>
            </w:r>
          </w:p>
        </w:tc>
        <w:tc>
          <w:tcPr>
            <w:tcW w:w="1138" w:type="dxa"/>
          </w:tcPr>
          <w:p w14:paraId="34B3290C">
            <w:pPr>
              <w:pStyle w:val="5"/>
              <w:jc w:val="center"/>
            </w:pPr>
            <w:r>
              <w:rPr>
                <w:rFonts w:ascii="仿宋_GB2312" w:hAnsi="仿宋_GB2312" w:eastAsia="仿宋_GB2312" w:cs="仿宋_GB2312"/>
              </w:rPr>
              <w:t>数量（计量单位）</w:t>
            </w:r>
          </w:p>
        </w:tc>
        <w:tc>
          <w:tcPr>
            <w:tcW w:w="1365" w:type="dxa"/>
          </w:tcPr>
          <w:p w14:paraId="7A7C0A19">
            <w:pPr>
              <w:pStyle w:val="5"/>
              <w:jc w:val="center"/>
            </w:pPr>
            <w:r>
              <w:rPr>
                <w:rFonts w:ascii="仿宋_GB2312" w:hAnsi="仿宋_GB2312" w:eastAsia="仿宋_GB2312" w:cs="仿宋_GB2312"/>
              </w:rPr>
              <w:t>最高限价</w:t>
            </w:r>
          </w:p>
        </w:tc>
        <w:tc>
          <w:tcPr>
            <w:tcW w:w="1138" w:type="dxa"/>
          </w:tcPr>
          <w:p w14:paraId="5A51843A">
            <w:pPr>
              <w:pStyle w:val="5"/>
              <w:jc w:val="center"/>
            </w:pPr>
            <w:r>
              <w:rPr>
                <w:rFonts w:ascii="仿宋_GB2312" w:hAnsi="仿宋_GB2312" w:eastAsia="仿宋_GB2312" w:cs="仿宋_GB2312"/>
              </w:rPr>
              <w:t>价款形式</w:t>
            </w:r>
          </w:p>
        </w:tc>
        <w:tc>
          <w:tcPr>
            <w:tcW w:w="1934" w:type="dxa"/>
          </w:tcPr>
          <w:p w14:paraId="424B4FBE">
            <w:pPr>
              <w:pStyle w:val="5"/>
              <w:jc w:val="center"/>
            </w:pPr>
            <w:r>
              <w:rPr>
                <w:rFonts w:ascii="仿宋_GB2312" w:hAnsi="仿宋_GB2312" w:eastAsia="仿宋_GB2312" w:cs="仿宋_GB2312"/>
              </w:rPr>
              <w:t>报价说明</w:t>
            </w:r>
          </w:p>
        </w:tc>
      </w:tr>
      <w:tr w14:paraId="7CCF36E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024" w:type="dxa"/>
          </w:tcPr>
          <w:p w14:paraId="33705621">
            <w:pPr>
              <w:pStyle w:val="5"/>
              <w:jc w:val="center"/>
            </w:pPr>
            <w:r>
              <w:rPr>
                <w:rFonts w:ascii="仿宋_GB2312" w:hAnsi="仿宋_GB2312" w:eastAsia="仿宋_GB2312" w:cs="仿宋_GB2312"/>
              </w:rPr>
              <w:t>1</w:t>
            </w:r>
          </w:p>
        </w:tc>
        <w:tc>
          <w:tcPr>
            <w:tcW w:w="1707" w:type="dxa"/>
          </w:tcPr>
          <w:p w14:paraId="1B650CDE">
            <w:pPr>
              <w:pStyle w:val="5"/>
              <w:jc w:val="center"/>
            </w:pPr>
            <w:r>
              <w:rPr>
                <w:rFonts w:ascii="仿宋_GB2312" w:hAnsi="仿宋_GB2312" w:eastAsia="仿宋_GB2312" w:cs="仿宋_GB2312"/>
              </w:rPr>
              <w:t>马边彝族自治县农村生活垃圾“收转运”和城乡生活垃圾转运乐山项目（第三轮）</w:t>
            </w:r>
          </w:p>
        </w:tc>
        <w:tc>
          <w:tcPr>
            <w:tcW w:w="1138" w:type="dxa"/>
          </w:tcPr>
          <w:p w14:paraId="036F3112">
            <w:pPr>
              <w:pStyle w:val="5"/>
              <w:jc w:val="center"/>
            </w:pPr>
            <w:r>
              <w:rPr>
                <w:rFonts w:ascii="仿宋_GB2312" w:hAnsi="仿宋_GB2312" w:eastAsia="仿宋_GB2312" w:cs="仿宋_GB2312"/>
              </w:rPr>
              <w:t>1.00（项）</w:t>
            </w:r>
          </w:p>
        </w:tc>
        <w:tc>
          <w:tcPr>
            <w:tcW w:w="1365" w:type="dxa"/>
          </w:tcPr>
          <w:p w14:paraId="45BDADC4">
            <w:pPr>
              <w:pStyle w:val="5"/>
              <w:jc w:val="center"/>
            </w:pPr>
            <w:r>
              <w:rPr>
                <w:rFonts w:ascii="仿宋_GB2312" w:hAnsi="仿宋_GB2312" w:eastAsia="仿宋_GB2312" w:cs="仿宋_GB2312"/>
              </w:rPr>
              <w:t>46,770,000.00</w:t>
            </w:r>
          </w:p>
        </w:tc>
        <w:tc>
          <w:tcPr>
            <w:tcW w:w="1138" w:type="dxa"/>
          </w:tcPr>
          <w:p w14:paraId="18C9C068">
            <w:pPr>
              <w:pStyle w:val="5"/>
              <w:jc w:val="center"/>
            </w:pPr>
            <w:r>
              <w:rPr>
                <w:rFonts w:ascii="仿宋_GB2312" w:hAnsi="仿宋_GB2312" w:eastAsia="仿宋_GB2312" w:cs="仿宋_GB2312"/>
              </w:rPr>
              <w:t>总价</w:t>
            </w:r>
          </w:p>
        </w:tc>
        <w:tc>
          <w:tcPr>
            <w:tcW w:w="1934" w:type="dxa"/>
          </w:tcPr>
          <w:p w14:paraId="3126888C">
            <w:pPr>
              <w:pStyle w:val="5"/>
              <w:jc w:val="left"/>
            </w:pPr>
            <w:r>
              <w:rPr>
                <w:rFonts w:ascii="仿宋_GB2312" w:hAnsi="仿宋_GB2312" w:eastAsia="仿宋_GB2312" w:cs="仿宋_GB2312"/>
              </w:rPr>
              <w:t>无</w:t>
            </w:r>
          </w:p>
        </w:tc>
      </w:tr>
    </w:tbl>
    <w:p w14:paraId="756A9463">
      <w:pPr>
        <w:pStyle w:val="5"/>
        <w:ind w:firstLine="480"/>
        <w:jc w:val="left"/>
      </w:pPr>
      <w:r>
        <w:rPr>
          <w:rFonts w:ascii="仿宋_GB2312" w:hAnsi="仿宋_GB2312" w:eastAsia="仿宋_GB2312" w:cs="仿宋_GB2312"/>
        </w:rPr>
        <w:t>★注：采购包涉及采购货物的，投标人响应产品应当明确品牌和规格型号并指向唯一产品，不能指向唯一产品的，应通过报价表唯一产品说明栏补充说明。</w:t>
      </w:r>
    </w:p>
    <w:p w14:paraId="2107DA14">
      <w:pPr>
        <w:pStyle w:val="5"/>
        <w:jc w:val="left"/>
      </w:pPr>
      <w:r>
        <w:rPr>
          <w:rFonts w:ascii="仿宋_GB2312" w:hAnsi="仿宋_GB2312" w:eastAsia="仿宋_GB2312" w:cs="仿宋_GB2312"/>
          <w:b/>
        </w:rPr>
        <w:t>本项目涉及核心产品：</w:t>
      </w:r>
    </w:p>
    <w:p w14:paraId="390420AF">
      <w:pPr>
        <w:pStyle w:val="5"/>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0DA1FE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4791DE18">
            <w:pPr>
              <w:pStyle w:val="5"/>
              <w:jc w:val="center"/>
            </w:pPr>
            <w:r>
              <w:rPr>
                <w:rFonts w:ascii="仿宋_GB2312" w:hAnsi="仿宋_GB2312" w:eastAsia="仿宋_GB2312" w:cs="仿宋_GB2312"/>
              </w:rPr>
              <w:t>序号</w:t>
            </w:r>
          </w:p>
        </w:tc>
        <w:tc>
          <w:tcPr>
            <w:tcW w:w="2492" w:type="dxa"/>
          </w:tcPr>
          <w:p w14:paraId="3C6FEFBD">
            <w:pPr>
              <w:pStyle w:val="5"/>
              <w:jc w:val="center"/>
            </w:pPr>
            <w:r>
              <w:rPr>
                <w:rFonts w:ascii="仿宋_GB2312" w:hAnsi="仿宋_GB2312" w:eastAsia="仿宋_GB2312" w:cs="仿宋_GB2312"/>
              </w:rPr>
              <w:t>采购品目名称</w:t>
            </w:r>
          </w:p>
        </w:tc>
        <w:tc>
          <w:tcPr>
            <w:tcW w:w="2492" w:type="dxa"/>
          </w:tcPr>
          <w:p w14:paraId="53F11A0F">
            <w:pPr>
              <w:pStyle w:val="5"/>
              <w:jc w:val="center"/>
            </w:pPr>
            <w:r>
              <w:rPr>
                <w:rFonts w:ascii="仿宋_GB2312" w:hAnsi="仿宋_GB2312" w:eastAsia="仿宋_GB2312" w:cs="仿宋_GB2312"/>
              </w:rPr>
              <w:t>标的名称</w:t>
            </w:r>
          </w:p>
        </w:tc>
        <w:tc>
          <w:tcPr>
            <w:tcW w:w="2492" w:type="dxa"/>
          </w:tcPr>
          <w:p w14:paraId="557FEB04">
            <w:pPr>
              <w:pStyle w:val="5"/>
              <w:jc w:val="center"/>
            </w:pPr>
            <w:r>
              <w:rPr>
                <w:rFonts w:ascii="仿宋_GB2312" w:hAnsi="仿宋_GB2312" w:eastAsia="仿宋_GB2312" w:cs="仿宋_GB2312"/>
              </w:rPr>
              <w:t>产品名称</w:t>
            </w:r>
          </w:p>
        </w:tc>
      </w:tr>
      <w:tr w14:paraId="241638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020CDEBD">
            <w:pPr>
              <w:pStyle w:val="5"/>
              <w:jc w:val="center"/>
            </w:pPr>
            <w:r>
              <w:rPr>
                <w:rFonts w:ascii="仿宋_GB2312" w:hAnsi="仿宋_GB2312" w:eastAsia="仿宋_GB2312" w:cs="仿宋_GB2312"/>
              </w:rPr>
              <w:t>不涉及</w:t>
            </w:r>
          </w:p>
        </w:tc>
      </w:tr>
    </w:tbl>
    <w:p w14:paraId="03F50159">
      <w:pPr>
        <w:pStyle w:val="5"/>
        <w:ind w:firstLine="480"/>
        <w:jc w:val="left"/>
      </w:pPr>
      <w:r>
        <w:rPr>
          <w:rFonts w:ascii="仿宋_GB2312" w:hAnsi="仿宋_GB2312" w:eastAsia="仿宋_GB2312" w:cs="仿宋_GB2312"/>
        </w:rPr>
        <w:t>注：涉及核心产品的，具体评审规定见第五章。</w:t>
      </w:r>
    </w:p>
    <w:p w14:paraId="39CD1732">
      <w:pPr>
        <w:pStyle w:val="5"/>
        <w:jc w:val="left"/>
        <w:outlineLvl w:val="3"/>
      </w:pPr>
      <w:r>
        <w:rPr>
          <w:rFonts w:ascii="仿宋_GB2312" w:hAnsi="仿宋_GB2312" w:eastAsia="仿宋_GB2312" w:cs="仿宋_GB2312"/>
          <w:b/>
          <w:sz w:val="24"/>
        </w:rPr>
        <w:t>本项目涉及采购进口产品：</w:t>
      </w:r>
    </w:p>
    <w:p w14:paraId="6F5BB929">
      <w:pPr>
        <w:pStyle w:val="5"/>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604DE61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705F4C9D">
            <w:pPr>
              <w:pStyle w:val="5"/>
              <w:jc w:val="center"/>
            </w:pPr>
            <w:r>
              <w:rPr>
                <w:rFonts w:ascii="仿宋_GB2312" w:hAnsi="仿宋_GB2312" w:eastAsia="仿宋_GB2312" w:cs="仿宋_GB2312"/>
              </w:rPr>
              <w:t>序号</w:t>
            </w:r>
          </w:p>
        </w:tc>
        <w:tc>
          <w:tcPr>
            <w:tcW w:w="2492" w:type="dxa"/>
          </w:tcPr>
          <w:p w14:paraId="093C6937">
            <w:pPr>
              <w:pStyle w:val="5"/>
              <w:jc w:val="center"/>
            </w:pPr>
            <w:r>
              <w:rPr>
                <w:rFonts w:ascii="仿宋_GB2312" w:hAnsi="仿宋_GB2312" w:eastAsia="仿宋_GB2312" w:cs="仿宋_GB2312"/>
              </w:rPr>
              <w:t>采购品目名称</w:t>
            </w:r>
          </w:p>
        </w:tc>
        <w:tc>
          <w:tcPr>
            <w:tcW w:w="2492" w:type="dxa"/>
          </w:tcPr>
          <w:p w14:paraId="4E4E998E">
            <w:pPr>
              <w:pStyle w:val="5"/>
              <w:jc w:val="center"/>
            </w:pPr>
            <w:r>
              <w:rPr>
                <w:rFonts w:ascii="仿宋_GB2312" w:hAnsi="仿宋_GB2312" w:eastAsia="仿宋_GB2312" w:cs="仿宋_GB2312"/>
              </w:rPr>
              <w:t>标的名称</w:t>
            </w:r>
          </w:p>
        </w:tc>
        <w:tc>
          <w:tcPr>
            <w:tcW w:w="2492" w:type="dxa"/>
          </w:tcPr>
          <w:p w14:paraId="44DE92B5">
            <w:pPr>
              <w:pStyle w:val="5"/>
              <w:jc w:val="center"/>
            </w:pPr>
            <w:r>
              <w:rPr>
                <w:rFonts w:ascii="仿宋_GB2312" w:hAnsi="仿宋_GB2312" w:eastAsia="仿宋_GB2312" w:cs="仿宋_GB2312"/>
              </w:rPr>
              <w:t>产品名称</w:t>
            </w:r>
          </w:p>
        </w:tc>
      </w:tr>
      <w:tr w14:paraId="4134D5E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0A7B4F8D">
            <w:pPr>
              <w:pStyle w:val="5"/>
              <w:jc w:val="center"/>
            </w:pPr>
            <w:r>
              <w:rPr>
                <w:rFonts w:ascii="仿宋_GB2312" w:hAnsi="仿宋_GB2312" w:eastAsia="仿宋_GB2312" w:cs="仿宋_GB2312"/>
              </w:rPr>
              <w:t>不涉及</w:t>
            </w:r>
          </w:p>
        </w:tc>
      </w:tr>
    </w:tbl>
    <w:p w14:paraId="2C26601B">
      <w:pPr>
        <w:pStyle w:val="5"/>
        <w:ind w:firstLine="480"/>
        <w:jc w:val="left"/>
      </w:pPr>
      <w:r>
        <w:rPr>
          <w:rFonts w:ascii="仿宋_GB2312" w:hAnsi="仿宋_GB2312" w:eastAsia="仿宋_GB2312" w:cs="仿宋_GB2312"/>
        </w:rPr>
        <w:t>★注：不涉及采购进口产品时，投标人不得提供进口产品进行响应；涉及采购进口产品时，如国产产品满足采购需求，也可提供国产产品进行响应。</w:t>
      </w:r>
    </w:p>
    <w:p w14:paraId="7605E5D9">
      <w:pPr>
        <w:pStyle w:val="5"/>
        <w:jc w:val="left"/>
        <w:outlineLvl w:val="3"/>
      </w:pPr>
      <w:r>
        <w:rPr>
          <w:rFonts w:ascii="仿宋_GB2312" w:hAnsi="仿宋_GB2312" w:eastAsia="仿宋_GB2312" w:cs="仿宋_GB2312"/>
          <w:b/>
          <w:sz w:val="24"/>
        </w:rPr>
        <w:t>本项目涉及强制采购节能产品：</w:t>
      </w:r>
    </w:p>
    <w:p w14:paraId="249F53C7">
      <w:pPr>
        <w:pStyle w:val="5"/>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6C4A3AD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48B6942D">
            <w:pPr>
              <w:pStyle w:val="5"/>
              <w:jc w:val="center"/>
            </w:pPr>
            <w:r>
              <w:rPr>
                <w:rFonts w:ascii="仿宋_GB2312" w:hAnsi="仿宋_GB2312" w:eastAsia="仿宋_GB2312" w:cs="仿宋_GB2312"/>
              </w:rPr>
              <w:t>序号</w:t>
            </w:r>
          </w:p>
        </w:tc>
        <w:tc>
          <w:tcPr>
            <w:tcW w:w="2492" w:type="dxa"/>
          </w:tcPr>
          <w:p w14:paraId="4A218BA1">
            <w:pPr>
              <w:pStyle w:val="5"/>
              <w:jc w:val="center"/>
            </w:pPr>
            <w:r>
              <w:rPr>
                <w:rFonts w:ascii="仿宋_GB2312" w:hAnsi="仿宋_GB2312" w:eastAsia="仿宋_GB2312" w:cs="仿宋_GB2312"/>
              </w:rPr>
              <w:t>采购品目名称</w:t>
            </w:r>
          </w:p>
        </w:tc>
        <w:tc>
          <w:tcPr>
            <w:tcW w:w="2492" w:type="dxa"/>
          </w:tcPr>
          <w:p w14:paraId="286244FC">
            <w:pPr>
              <w:pStyle w:val="5"/>
              <w:jc w:val="center"/>
            </w:pPr>
            <w:r>
              <w:rPr>
                <w:rFonts w:ascii="仿宋_GB2312" w:hAnsi="仿宋_GB2312" w:eastAsia="仿宋_GB2312" w:cs="仿宋_GB2312"/>
              </w:rPr>
              <w:t>标的名称</w:t>
            </w:r>
          </w:p>
        </w:tc>
        <w:tc>
          <w:tcPr>
            <w:tcW w:w="2492" w:type="dxa"/>
          </w:tcPr>
          <w:p w14:paraId="4A7026E1">
            <w:pPr>
              <w:pStyle w:val="5"/>
              <w:jc w:val="center"/>
            </w:pPr>
            <w:r>
              <w:rPr>
                <w:rFonts w:ascii="仿宋_GB2312" w:hAnsi="仿宋_GB2312" w:eastAsia="仿宋_GB2312" w:cs="仿宋_GB2312"/>
              </w:rPr>
              <w:t>产品名称</w:t>
            </w:r>
          </w:p>
        </w:tc>
      </w:tr>
      <w:tr w14:paraId="10BC424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7E0DCA4E">
            <w:pPr>
              <w:pStyle w:val="5"/>
              <w:jc w:val="center"/>
            </w:pPr>
            <w:r>
              <w:rPr>
                <w:rFonts w:ascii="仿宋_GB2312" w:hAnsi="仿宋_GB2312" w:eastAsia="仿宋_GB2312" w:cs="仿宋_GB2312"/>
              </w:rPr>
              <w:t>不涉及</w:t>
            </w:r>
          </w:p>
        </w:tc>
      </w:tr>
    </w:tbl>
    <w:p w14:paraId="01D27C3D">
      <w:pPr>
        <w:pStyle w:val="5"/>
        <w:ind w:firstLine="480"/>
        <w:jc w:val="left"/>
      </w:pPr>
      <w:r>
        <w:rPr>
          <w:rFonts w:ascii="仿宋_GB2312" w:hAnsi="仿宋_GB2312" w:eastAsia="仿宋_GB2312" w:cs="仿宋_GB2312"/>
        </w:rPr>
        <w:t>★注：响应产品属于《节能产品政府采购品目清单》中政府强制采购的产品，投标人应当提供由国家确定的认证机构出具的、处于有效期之内的节能产品认证证书的原件扫描件或“全国认证认可信息公共服务平台”（http://cx.cnca.cn）的认证信息截图，否则作无效投标处理。具体要求详见第五章符合性审查表。</w:t>
      </w:r>
    </w:p>
    <w:p w14:paraId="3E3591BA">
      <w:pPr>
        <w:pStyle w:val="5"/>
        <w:jc w:val="left"/>
      </w:pPr>
      <w:r>
        <w:rPr>
          <w:rFonts w:ascii="仿宋_GB2312" w:hAnsi="仿宋_GB2312" w:eastAsia="仿宋_GB2312" w:cs="仿宋_GB2312"/>
          <w:b/>
        </w:rPr>
        <w:t>本项目涉及优先采购节能产品：</w:t>
      </w:r>
    </w:p>
    <w:p w14:paraId="324B5032">
      <w:pPr>
        <w:pStyle w:val="5"/>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3E01721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8F7F578">
            <w:pPr>
              <w:pStyle w:val="5"/>
              <w:jc w:val="center"/>
            </w:pPr>
            <w:r>
              <w:rPr>
                <w:rFonts w:ascii="仿宋_GB2312" w:hAnsi="仿宋_GB2312" w:eastAsia="仿宋_GB2312" w:cs="仿宋_GB2312"/>
              </w:rPr>
              <w:t>序号</w:t>
            </w:r>
          </w:p>
        </w:tc>
        <w:tc>
          <w:tcPr>
            <w:tcW w:w="2492" w:type="dxa"/>
          </w:tcPr>
          <w:p w14:paraId="78661F70">
            <w:pPr>
              <w:pStyle w:val="5"/>
              <w:jc w:val="center"/>
            </w:pPr>
            <w:r>
              <w:rPr>
                <w:rFonts w:ascii="仿宋_GB2312" w:hAnsi="仿宋_GB2312" w:eastAsia="仿宋_GB2312" w:cs="仿宋_GB2312"/>
              </w:rPr>
              <w:t>采购品目名称</w:t>
            </w:r>
          </w:p>
        </w:tc>
        <w:tc>
          <w:tcPr>
            <w:tcW w:w="2492" w:type="dxa"/>
          </w:tcPr>
          <w:p w14:paraId="2C5F8F0B">
            <w:pPr>
              <w:pStyle w:val="5"/>
              <w:jc w:val="center"/>
            </w:pPr>
            <w:r>
              <w:rPr>
                <w:rFonts w:ascii="仿宋_GB2312" w:hAnsi="仿宋_GB2312" w:eastAsia="仿宋_GB2312" w:cs="仿宋_GB2312"/>
              </w:rPr>
              <w:t>标的名称</w:t>
            </w:r>
          </w:p>
        </w:tc>
        <w:tc>
          <w:tcPr>
            <w:tcW w:w="2492" w:type="dxa"/>
          </w:tcPr>
          <w:p w14:paraId="6978F4A0">
            <w:pPr>
              <w:pStyle w:val="5"/>
              <w:jc w:val="center"/>
            </w:pPr>
            <w:r>
              <w:rPr>
                <w:rFonts w:ascii="仿宋_GB2312" w:hAnsi="仿宋_GB2312" w:eastAsia="仿宋_GB2312" w:cs="仿宋_GB2312"/>
              </w:rPr>
              <w:t>产品名称</w:t>
            </w:r>
          </w:p>
        </w:tc>
      </w:tr>
      <w:tr w14:paraId="71862F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39555638">
            <w:pPr>
              <w:pStyle w:val="5"/>
              <w:jc w:val="center"/>
            </w:pPr>
            <w:r>
              <w:rPr>
                <w:rFonts w:ascii="仿宋_GB2312" w:hAnsi="仿宋_GB2312" w:eastAsia="仿宋_GB2312" w:cs="仿宋_GB2312"/>
              </w:rPr>
              <w:t>不涉及</w:t>
            </w:r>
          </w:p>
        </w:tc>
      </w:tr>
    </w:tbl>
    <w:p w14:paraId="42A46F25">
      <w:pPr>
        <w:pStyle w:val="5"/>
        <w:ind w:firstLine="480"/>
        <w:jc w:val="left"/>
      </w:pPr>
      <w:r>
        <w:rPr>
          <w:rFonts w:ascii="仿宋_GB2312" w:hAnsi="仿宋_GB2312" w:eastAsia="仿宋_GB2312" w:cs="仿宋_GB2312"/>
        </w:rPr>
        <w:t>注：响应产品属于《节能产品政府采购品目清单》中优先采购的产品，投标人提供由国家确定的认证机构出具的、处于有效期之内的节能产品认证证书的原件扫描件或“全国认证认可信息公共服务平台”（http://cx.cnca.cn）的认证信息截图，可以享受优先采购政策。具体要求详见第五章规定。</w:t>
      </w:r>
    </w:p>
    <w:p w14:paraId="60096719">
      <w:pPr>
        <w:pStyle w:val="5"/>
        <w:jc w:val="left"/>
        <w:outlineLvl w:val="3"/>
      </w:pPr>
      <w:r>
        <w:rPr>
          <w:rFonts w:ascii="仿宋_GB2312" w:hAnsi="仿宋_GB2312" w:eastAsia="仿宋_GB2312" w:cs="仿宋_GB2312"/>
          <w:b/>
          <w:sz w:val="24"/>
        </w:rPr>
        <w:t>本项目涉及优先采购环境标志产品：</w:t>
      </w:r>
    </w:p>
    <w:p w14:paraId="50A9372E">
      <w:pPr>
        <w:pStyle w:val="5"/>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2492"/>
        <w:gridCol w:w="2492"/>
        <w:gridCol w:w="2492"/>
      </w:tblGrid>
      <w:tr w14:paraId="4EC387D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tcPr>
          <w:p w14:paraId="6B901807">
            <w:pPr>
              <w:pStyle w:val="5"/>
              <w:jc w:val="center"/>
            </w:pPr>
            <w:r>
              <w:rPr>
                <w:rFonts w:ascii="仿宋_GB2312" w:hAnsi="仿宋_GB2312" w:eastAsia="仿宋_GB2312" w:cs="仿宋_GB2312"/>
              </w:rPr>
              <w:t>序号</w:t>
            </w:r>
          </w:p>
        </w:tc>
        <w:tc>
          <w:tcPr>
            <w:tcW w:w="2492" w:type="dxa"/>
          </w:tcPr>
          <w:p w14:paraId="23752940">
            <w:pPr>
              <w:pStyle w:val="5"/>
              <w:jc w:val="center"/>
            </w:pPr>
            <w:r>
              <w:rPr>
                <w:rFonts w:ascii="仿宋_GB2312" w:hAnsi="仿宋_GB2312" w:eastAsia="仿宋_GB2312" w:cs="仿宋_GB2312"/>
              </w:rPr>
              <w:t>采购品目名称</w:t>
            </w:r>
          </w:p>
        </w:tc>
        <w:tc>
          <w:tcPr>
            <w:tcW w:w="2492" w:type="dxa"/>
          </w:tcPr>
          <w:p w14:paraId="69D41F75">
            <w:pPr>
              <w:pStyle w:val="5"/>
              <w:jc w:val="center"/>
            </w:pPr>
            <w:r>
              <w:rPr>
                <w:rFonts w:ascii="仿宋_GB2312" w:hAnsi="仿宋_GB2312" w:eastAsia="仿宋_GB2312" w:cs="仿宋_GB2312"/>
              </w:rPr>
              <w:t>标的名称</w:t>
            </w:r>
          </w:p>
        </w:tc>
        <w:tc>
          <w:tcPr>
            <w:tcW w:w="2492" w:type="dxa"/>
          </w:tcPr>
          <w:p w14:paraId="5EF33964">
            <w:pPr>
              <w:pStyle w:val="5"/>
              <w:jc w:val="center"/>
            </w:pPr>
            <w:r>
              <w:rPr>
                <w:rFonts w:ascii="仿宋_GB2312" w:hAnsi="仿宋_GB2312" w:eastAsia="仿宋_GB2312" w:cs="仿宋_GB2312"/>
              </w:rPr>
              <w:t>产品名称</w:t>
            </w:r>
          </w:p>
        </w:tc>
      </w:tr>
      <w:tr w14:paraId="5275B25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7" w:type="dxa"/>
            <w:gridSpan w:val="4"/>
          </w:tcPr>
          <w:p w14:paraId="2DE7578F">
            <w:pPr>
              <w:pStyle w:val="5"/>
              <w:jc w:val="center"/>
            </w:pPr>
            <w:r>
              <w:rPr>
                <w:rFonts w:ascii="仿宋_GB2312" w:hAnsi="仿宋_GB2312" w:eastAsia="仿宋_GB2312" w:cs="仿宋_GB2312"/>
              </w:rPr>
              <w:t>不涉及</w:t>
            </w:r>
          </w:p>
        </w:tc>
      </w:tr>
    </w:tbl>
    <w:p w14:paraId="676C20E2">
      <w:pPr>
        <w:pStyle w:val="5"/>
        <w:ind w:firstLine="480"/>
        <w:jc w:val="left"/>
      </w:pPr>
      <w:r>
        <w:rPr>
          <w:rFonts w:ascii="仿宋_GB2312" w:hAnsi="仿宋_GB2312" w:eastAsia="仿宋_GB2312" w:cs="仿宋_GB2312"/>
        </w:rPr>
        <w:t>注：响应产品属于《环境标志产品政府采购品目清单》中的产品，投标人提供由国家确定的认证机构出具的、处于有效期之内的环境标志产品认证证书的原件扫描件或“全国认证认可信息公共服务平台”（http://cx.cnca.cn）的认证信息截图，可以享受优先采购政策。具体要求详见第五章规定。</w:t>
      </w:r>
    </w:p>
    <w:p w14:paraId="4DFBCF43">
      <w:pPr>
        <w:pStyle w:val="5"/>
        <w:jc w:val="left"/>
        <w:outlineLvl w:val="2"/>
      </w:pPr>
      <w:r>
        <w:rPr>
          <w:rFonts w:ascii="仿宋_GB2312" w:hAnsi="仿宋_GB2312" w:eastAsia="仿宋_GB2312" w:cs="仿宋_GB2312"/>
          <w:b/>
          <w:sz w:val="28"/>
        </w:rPr>
        <w:t>3.2.技术要求</w:t>
      </w:r>
    </w:p>
    <w:p w14:paraId="687DA9A0">
      <w:pPr>
        <w:pStyle w:val="5"/>
        <w:jc w:val="left"/>
      </w:pPr>
      <w:r>
        <w:rPr>
          <w:rFonts w:ascii="仿宋_GB2312" w:hAnsi="仿宋_GB2312" w:eastAsia="仿宋_GB2312" w:cs="仿宋_GB2312"/>
        </w:rPr>
        <w:t>采购包1：</w:t>
      </w:r>
    </w:p>
    <w:p w14:paraId="1C30421D">
      <w:pPr>
        <w:pStyle w:val="5"/>
        <w:jc w:val="left"/>
      </w:pPr>
      <w:r>
        <w:rPr>
          <w:rFonts w:ascii="仿宋_GB2312" w:hAnsi="仿宋_GB2312" w:eastAsia="仿宋_GB2312" w:cs="仿宋_GB2312"/>
        </w:rPr>
        <w:t>标的名称：马边彝族自治县农村生活垃圾“收转运”和城乡生活垃圾转运乐山项目（第三轮）</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62F0263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536975AF">
            <w:pPr>
              <w:pStyle w:val="5"/>
              <w:jc w:val="center"/>
            </w:pPr>
            <w:r>
              <w:rPr>
                <w:rFonts w:ascii="仿宋_GB2312" w:hAnsi="仿宋_GB2312" w:eastAsia="仿宋_GB2312" w:cs="仿宋_GB2312"/>
              </w:rPr>
              <w:t>序号</w:t>
            </w:r>
          </w:p>
        </w:tc>
        <w:tc>
          <w:tcPr>
            <w:tcW w:w="581" w:type="dxa"/>
          </w:tcPr>
          <w:p w14:paraId="785BADC8">
            <w:pPr>
              <w:pStyle w:val="5"/>
              <w:jc w:val="center"/>
            </w:pPr>
            <w:r>
              <w:rPr>
                <w:rFonts w:ascii="仿宋_GB2312" w:hAnsi="仿宋_GB2312" w:eastAsia="仿宋_GB2312" w:cs="仿宋_GB2312"/>
              </w:rPr>
              <w:t>符号标识</w:t>
            </w:r>
          </w:p>
        </w:tc>
        <w:tc>
          <w:tcPr>
            <w:tcW w:w="1495" w:type="dxa"/>
          </w:tcPr>
          <w:p w14:paraId="2537BAF5">
            <w:pPr>
              <w:pStyle w:val="5"/>
              <w:jc w:val="center"/>
            </w:pPr>
            <w:r>
              <w:rPr>
                <w:rFonts w:ascii="仿宋_GB2312" w:hAnsi="仿宋_GB2312" w:eastAsia="仿宋_GB2312" w:cs="仿宋_GB2312"/>
              </w:rPr>
              <w:t>技术要求名称</w:t>
            </w:r>
          </w:p>
        </w:tc>
        <w:tc>
          <w:tcPr>
            <w:tcW w:w="5814" w:type="dxa"/>
          </w:tcPr>
          <w:p w14:paraId="191ACD06">
            <w:pPr>
              <w:pStyle w:val="5"/>
              <w:jc w:val="center"/>
            </w:pPr>
            <w:r>
              <w:rPr>
                <w:rFonts w:ascii="仿宋_GB2312" w:hAnsi="仿宋_GB2312" w:eastAsia="仿宋_GB2312" w:cs="仿宋_GB2312"/>
              </w:rPr>
              <w:t>技术参数与性能指标</w:t>
            </w:r>
          </w:p>
        </w:tc>
      </w:tr>
      <w:tr w14:paraId="45BA68E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08AEFBF7">
            <w:pPr>
              <w:pStyle w:val="5"/>
              <w:jc w:val="center"/>
            </w:pPr>
            <w:r>
              <w:rPr>
                <w:rFonts w:ascii="仿宋_GB2312" w:hAnsi="仿宋_GB2312" w:eastAsia="仿宋_GB2312" w:cs="仿宋_GB2312"/>
              </w:rPr>
              <w:t>1</w:t>
            </w:r>
          </w:p>
        </w:tc>
        <w:tc>
          <w:tcPr>
            <w:tcW w:w="581" w:type="dxa"/>
          </w:tcPr>
          <w:p w14:paraId="0EC0960B">
            <w:pPr>
              <w:pStyle w:val="5"/>
              <w:jc w:val="center"/>
            </w:pPr>
            <w:r>
              <w:rPr>
                <w:rFonts w:ascii="仿宋_GB2312" w:hAnsi="仿宋_GB2312" w:eastAsia="仿宋_GB2312" w:cs="仿宋_GB2312"/>
              </w:rPr>
              <w:t>★</w:t>
            </w:r>
          </w:p>
        </w:tc>
        <w:tc>
          <w:tcPr>
            <w:tcW w:w="1495" w:type="dxa"/>
          </w:tcPr>
          <w:p w14:paraId="4963B4B1">
            <w:pPr>
              <w:pStyle w:val="5"/>
              <w:jc w:val="left"/>
            </w:pPr>
            <w:r>
              <w:rPr>
                <w:rFonts w:ascii="仿宋_GB2312" w:hAnsi="仿宋_GB2312" w:eastAsia="仿宋_GB2312" w:cs="仿宋_GB2312"/>
              </w:rPr>
              <w:t>服务要求</w:t>
            </w:r>
          </w:p>
        </w:tc>
        <w:tc>
          <w:tcPr>
            <w:tcW w:w="5814" w:type="dxa"/>
          </w:tcPr>
          <w:p w14:paraId="2ABA1A8E">
            <w:pPr>
              <w:pStyle w:val="5"/>
              <w:ind w:firstLine="426"/>
              <w:jc w:val="left"/>
            </w:pPr>
            <w:r>
              <w:rPr>
                <w:rFonts w:ascii="仿宋_GB2312" w:hAnsi="仿宋_GB2312" w:eastAsia="仿宋_GB2312" w:cs="仿宋_GB2312"/>
                <w:color w:val="000000"/>
                <w:sz w:val="22"/>
              </w:rPr>
              <w:t>2、服务要求</w:t>
            </w:r>
          </w:p>
          <w:p w14:paraId="2B68304D">
            <w:pPr>
              <w:pStyle w:val="5"/>
              <w:ind w:firstLine="426"/>
              <w:jc w:val="left"/>
            </w:pPr>
            <w:r>
              <w:rPr>
                <w:rFonts w:ascii="仿宋_GB2312" w:hAnsi="仿宋_GB2312" w:eastAsia="仿宋_GB2312" w:cs="仿宋_GB2312"/>
                <w:color w:val="000000"/>
                <w:sz w:val="22"/>
              </w:rPr>
              <w:t>2.2.1垃圾收集、清运</w:t>
            </w:r>
          </w:p>
          <w:p w14:paraId="38CBBC8C">
            <w:pPr>
              <w:pStyle w:val="5"/>
              <w:numPr>
                <w:ilvl w:val="0"/>
                <w:numId w:val="1"/>
              </w:numPr>
              <w:jc w:val="left"/>
            </w:pPr>
            <w:r>
              <w:rPr>
                <w:rFonts w:ascii="仿宋_GB2312" w:hAnsi="仿宋_GB2312" w:eastAsia="仿宋_GB2312" w:cs="仿宋_GB2312"/>
                <w:color w:val="000000"/>
                <w:sz w:val="22"/>
              </w:rPr>
              <w:t>对辖区内的生活垃圾处置方式：一是将村组的垃圾收集转运至各乡镇中转站再转运至县城区红旗中转站，与城区垃圾集中压缩后集中转运到光大环保能源（乐山)有限公司；二是将县城区红旗中转站收集的其他非生活垃圾（大件垃圾、建筑垃圾等）转运至合法垃圾处理场所处理。</w:t>
            </w:r>
          </w:p>
          <w:p w14:paraId="14739546">
            <w:pPr>
              <w:pStyle w:val="5"/>
              <w:ind w:firstLine="440"/>
              <w:jc w:val="left"/>
            </w:pPr>
            <w:r>
              <w:rPr>
                <w:rFonts w:ascii="仿宋_GB2312" w:hAnsi="仿宋_GB2312" w:eastAsia="仿宋_GB2312" w:cs="仿宋_GB2312"/>
                <w:color w:val="000000"/>
                <w:sz w:val="22"/>
              </w:rPr>
              <w:t>（2）作业频次要求：各村转运至乡镇中转站垃圾清运每2天至少收集转运1次，乡镇场镇垃圾清运每天收集转运不低于1次，国道、省道、县道、乡道沿线的垃圾做到日产日清，乡镇中转站至城区红旗中转站垃圾清运随满随转运，城区红旗中转站转运至光大环保能源（乐山)有限公司垃圾焚烧处理厂做到日产日清，垃圾不在城区中转站过夜。</w:t>
            </w:r>
          </w:p>
          <w:p w14:paraId="2A169BE5">
            <w:pPr>
              <w:pStyle w:val="5"/>
              <w:ind w:firstLine="426"/>
              <w:jc w:val="left"/>
            </w:pPr>
            <w:r>
              <w:rPr>
                <w:rFonts w:ascii="仿宋_GB2312" w:hAnsi="仿宋_GB2312" w:eastAsia="仿宋_GB2312" w:cs="仿宋_GB2312"/>
                <w:color w:val="000000"/>
                <w:sz w:val="22"/>
              </w:rPr>
              <w:t>（3）清运作业标准：</w:t>
            </w:r>
          </w:p>
          <w:p w14:paraId="367FA4E7">
            <w:pPr>
              <w:pStyle w:val="5"/>
              <w:ind w:firstLine="440"/>
              <w:jc w:val="left"/>
            </w:pPr>
            <w:r>
              <w:rPr>
                <w:rFonts w:ascii="仿宋_GB2312" w:hAnsi="仿宋_GB2312" w:eastAsia="仿宋_GB2312" w:cs="仿宋_GB2312"/>
                <w:color w:val="000000"/>
                <w:sz w:val="22"/>
              </w:rPr>
              <w:t>1）垃圾收集点位设置，便于收集转运，不妨碍交通，不影响街容街貌，堆放规整。</w:t>
            </w:r>
          </w:p>
          <w:p w14:paraId="78D7BBC7">
            <w:pPr>
              <w:pStyle w:val="5"/>
              <w:ind w:firstLine="440"/>
              <w:jc w:val="left"/>
            </w:pPr>
            <w:r>
              <w:rPr>
                <w:rFonts w:ascii="仿宋_GB2312" w:hAnsi="仿宋_GB2312" w:eastAsia="仿宋_GB2312" w:cs="仿宋_GB2312"/>
                <w:color w:val="000000"/>
                <w:sz w:val="22"/>
              </w:rPr>
              <w:t>2）收集车应及时到达收集点，不得无故阻止居民在收集点倾倒垃圾。</w:t>
            </w:r>
          </w:p>
          <w:p w14:paraId="58C142B7">
            <w:pPr>
              <w:pStyle w:val="5"/>
              <w:ind w:firstLine="440"/>
              <w:jc w:val="left"/>
            </w:pPr>
            <w:r>
              <w:rPr>
                <w:rFonts w:ascii="仿宋_GB2312" w:hAnsi="仿宋_GB2312" w:eastAsia="仿宋_GB2312" w:cs="仿宋_GB2312"/>
                <w:color w:val="000000"/>
                <w:sz w:val="22"/>
              </w:rPr>
              <w:t>3）垃圾收集结束应将收集点地面洒落垃圾清扫干净，垃圾桶复位摆放整齐，无地面垃圾残留、散落。</w:t>
            </w:r>
          </w:p>
          <w:p w14:paraId="3D544D58">
            <w:pPr>
              <w:pStyle w:val="5"/>
              <w:ind w:firstLine="440"/>
              <w:jc w:val="left"/>
            </w:pPr>
            <w:r>
              <w:rPr>
                <w:rFonts w:ascii="仿宋_GB2312" w:hAnsi="仿宋_GB2312" w:eastAsia="仿宋_GB2312" w:cs="仿宋_GB2312"/>
                <w:color w:val="000000"/>
                <w:sz w:val="22"/>
              </w:rPr>
              <w:t>4）清运应按作业规范要求清运，不得漏运或遗留垃圾。</w:t>
            </w:r>
          </w:p>
          <w:p w14:paraId="1E794953">
            <w:pPr>
              <w:pStyle w:val="5"/>
              <w:ind w:firstLine="440"/>
              <w:jc w:val="left"/>
            </w:pPr>
            <w:r>
              <w:rPr>
                <w:rFonts w:ascii="仿宋_GB2312" w:hAnsi="仿宋_GB2312" w:eastAsia="仿宋_GB2312" w:cs="仿宋_GB2312"/>
                <w:color w:val="000000"/>
                <w:sz w:val="22"/>
              </w:rPr>
              <w:t>5）乡镇场镇收集车要按规定时间出车，意外情况在接到通知后须及时到场清运干净。</w:t>
            </w:r>
          </w:p>
          <w:p w14:paraId="6661AB38">
            <w:pPr>
              <w:pStyle w:val="5"/>
              <w:ind w:firstLine="440"/>
              <w:jc w:val="left"/>
            </w:pPr>
            <w:r>
              <w:rPr>
                <w:rFonts w:ascii="仿宋_GB2312" w:hAnsi="仿宋_GB2312" w:eastAsia="仿宋_GB2312" w:cs="仿宋_GB2312"/>
                <w:color w:val="000000"/>
                <w:sz w:val="22"/>
              </w:rPr>
              <w:t>6）转运垃圾时应密闭运输，不得沿途散落，不得抛、冒、滴、漏，垃圾必须倾倒于指定垃圾中转站，不得乱倾乱倒。</w:t>
            </w:r>
          </w:p>
          <w:p w14:paraId="66571DC4">
            <w:pPr>
              <w:pStyle w:val="5"/>
              <w:ind w:firstLine="426"/>
              <w:jc w:val="left"/>
            </w:pPr>
            <w:r>
              <w:rPr>
                <w:rFonts w:ascii="仿宋_GB2312" w:hAnsi="仿宋_GB2312" w:eastAsia="仿宋_GB2312" w:cs="仿宋_GB2312"/>
                <w:color w:val="000000"/>
                <w:sz w:val="22"/>
              </w:rPr>
              <w:t>2.2.2人员及车辆配置及要求</w:t>
            </w:r>
          </w:p>
          <w:p w14:paraId="5123359C">
            <w:pPr>
              <w:pStyle w:val="5"/>
              <w:ind w:firstLine="426"/>
              <w:jc w:val="left"/>
            </w:pPr>
            <w:r>
              <w:rPr>
                <w:rFonts w:ascii="仿宋_GB2312" w:hAnsi="仿宋_GB2312" w:eastAsia="仿宋_GB2312" w:cs="仿宋_GB2312"/>
                <w:color w:val="000000"/>
                <w:sz w:val="22"/>
              </w:rPr>
              <w:t>（1）乡镇运输环卫作业车辆</w:t>
            </w:r>
          </w:p>
          <w:tbl>
            <w:tblPr>
              <w:tblStyle w:val="2"/>
              <w:tblW w:w="0" w:type="auto"/>
              <w:tblInd w:w="285"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440"/>
              <w:gridCol w:w="783"/>
              <w:gridCol w:w="870"/>
              <w:gridCol w:w="1327"/>
              <w:gridCol w:w="1888"/>
            </w:tblGrid>
            <w:tr w14:paraId="7C8958E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7869B9B7">
                  <w:pPr>
                    <w:pStyle w:val="5"/>
                    <w:jc w:val="left"/>
                  </w:pPr>
                  <w:r>
                    <w:rPr>
                      <w:rFonts w:ascii="仿宋_GB2312" w:hAnsi="仿宋_GB2312" w:eastAsia="仿宋_GB2312" w:cs="仿宋_GB2312"/>
                      <w:color w:val="000000"/>
                      <w:sz w:val="22"/>
                    </w:rPr>
                    <w:t>序号</w:t>
                  </w:r>
                </w:p>
              </w:tc>
              <w:tc>
                <w:tcPr>
                  <w:tcW w:w="840"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DCB224A">
                  <w:pPr>
                    <w:pStyle w:val="5"/>
                    <w:jc w:val="left"/>
                  </w:pPr>
                  <w:r>
                    <w:rPr>
                      <w:rFonts w:ascii="仿宋_GB2312" w:hAnsi="仿宋_GB2312" w:eastAsia="仿宋_GB2312" w:cs="仿宋_GB2312"/>
                      <w:color w:val="000000"/>
                      <w:sz w:val="22"/>
                    </w:rPr>
                    <w:t>车辆类型</w:t>
                  </w:r>
                </w:p>
              </w:tc>
              <w:tc>
                <w:tcPr>
                  <w:tcW w:w="751"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3BB5BD0">
                  <w:pPr>
                    <w:pStyle w:val="5"/>
                    <w:jc w:val="left"/>
                  </w:pPr>
                  <w:r>
                    <w:rPr>
                      <w:rFonts w:ascii="仿宋_GB2312" w:hAnsi="仿宋_GB2312" w:eastAsia="仿宋_GB2312" w:cs="仿宋_GB2312"/>
                      <w:color w:val="000000"/>
                      <w:sz w:val="22"/>
                    </w:rPr>
                    <w:t>数量（辆）</w:t>
                  </w:r>
                </w:p>
              </w:tc>
              <w:tc>
                <w:tcPr>
                  <w:tcW w:w="140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54C6E81">
                  <w:pPr>
                    <w:pStyle w:val="5"/>
                    <w:jc w:val="left"/>
                  </w:pPr>
                  <w:r>
                    <w:rPr>
                      <w:rFonts w:ascii="仿宋_GB2312" w:hAnsi="仿宋_GB2312" w:eastAsia="仿宋_GB2312" w:cs="仿宋_GB2312"/>
                      <w:color w:val="000000"/>
                      <w:sz w:val="22"/>
                    </w:rPr>
                    <w:t>人员配置要求</w:t>
                  </w:r>
                </w:p>
              </w:tc>
              <w:tc>
                <w:tcPr>
                  <w:tcW w:w="205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906A5F0">
                  <w:pPr>
                    <w:pStyle w:val="5"/>
                    <w:ind w:firstLine="426"/>
                    <w:jc w:val="left"/>
                  </w:pPr>
                  <w:r>
                    <w:rPr>
                      <w:rFonts w:ascii="仿宋_GB2312" w:hAnsi="仿宋_GB2312" w:eastAsia="仿宋_GB2312" w:cs="仿宋_GB2312"/>
                      <w:color w:val="000000"/>
                      <w:sz w:val="22"/>
                    </w:rPr>
                    <w:t>备注</w:t>
                  </w:r>
                </w:p>
              </w:tc>
            </w:tr>
            <w:tr w14:paraId="7A89FB6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0607B696">
                  <w:pPr>
                    <w:pStyle w:val="5"/>
                    <w:jc w:val="left"/>
                  </w:pPr>
                  <w:r>
                    <w:rPr>
                      <w:rFonts w:ascii="仿宋_GB2312" w:hAnsi="仿宋_GB2312" w:eastAsia="仿宋_GB2312" w:cs="仿宋_GB2312"/>
                      <w:color w:val="000000"/>
                      <w:sz w:val="22"/>
                    </w:rPr>
                    <w:t>1</w:t>
                  </w:r>
                </w:p>
              </w:tc>
              <w:tc>
                <w:tcPr>
                  <w:tcW w:w="840" w:type="dxa"/>
                  <w:tcBorders>
                    <w:top w:val="nil"/>
                    <w:left w:val="nil"/>
                    <w:bottom w:val="single" w:color="000000" w:sz="4" w:space="0"/>
                    <w:right w:val="single" w:color="000000" w:sz="4" w:space="0"/>
                  </w:tcBorders>
                  <w:tcMar>
                    <w:top w:w="0" w:type="dxa"/>
                    <w:left w:w="105" w:type="dxa"/>
                    <w:bottom w:w="0" w:type="dxa"/>
                    <w:right w:w="105" w:type="dxa"/>
                  </w:tcMar>
                  <w:vAlign w:val="top"/>
                </w:tcPr>
                <w:p w14:paraId="52287232">
                  <w:pPr>
                    <w:pStyle w:val="5"/>
                    <w:jc w:val="left"/>
                  </w:pPr>
                  <w:r>
                    <w:rPr>
                      <w:rFonts w:ascii="仿宋_GB2312" w:hAnsi="仿宋_GB2312" w:eastAsia="仿宋_GB2312" w:cs="仿宋_GB2312"/>
                      <w:color w:val="000000"/>
                      <w:sz w:val="22"/>
                    </w:rPr>
                    <w:t>三轮柴油垃圾收运车</w:t>
                  </w:r>
                </w:p>
              </w:tc>
              <w:tc>
                <w:tcPr>
                  <w:tcW w:w="751" w:type="dxa"/>
                  <w:tcBorders>
                    <w:top w:val="nil"/>
                    <w:left w:val="nil"/>
                    <w:bottom w:val="single" w:color="000000" w:sz="4" w:space="0"/>
                    <w:right w:val="single" w:color="000000" w:sz="4" w:space="0"/>
                  </w:tcBorders>
                  <w:tcMar>
                    <w:top w:w="0" w:type="dxa"/>
                    <w:left w:w="105" w:type="dxa"/>
                    <w:bottom w:w="0" w:type="dxa"/>
                    <w:right w:w="105" w:type="dxa"/>
                  </w:tcMar>
                  <w:vAlign w:val="top"/>
                </w:tcPr>
                <w:p w14:paraId="2C141DC1">
                  <w:pPr>
                    <w:pStyle w:val="5"/>
                    <w:ind w:firstLine="426"/>
                    <w:jc w:val="left"/>
                  </w:pPr>
                  <w:r>
                    <w:rPr>
                      <w:rFonts w:ascii="仿宋_GB2312" w:hAnsi="仿宋_GB2312" w:eastAsia="仿宋_GB2312" w:cs="仿宋_GB2312"/>
                      <w:color w:val="000000"/>
                      <w:sz w:val="22"/>
                    </w:rPr>
                    <w:t>30</w:t>
                  </w:r>
                </w:p>
              </w:tc>
              <w:tc>
                <w:tcPr>
                  <w:tcW w:w="1403" w:type="dxa"/>
                  <w:tcBorders>
                    <w:top w:val="nil"/>
                    <w:left w:val="nil"/>
                    <w:bottom w:val="single" w:color="000000" w:sz="4" w:space="0"/>
                    <w:right w:val="single" w:color="000000" w:sz="4" w:space="0"/>
                  </w:tcBorders>
                  <w:tcMar>
                    <w:top w:w="0" w:type="dxa"/>
                    <w:left w:w="105" w:type="dxa"/>
                    <w:bottom w:w="0" w:type="dxa"/>
                    <w:right w:w="105" w:type="dxa"/>
                  </w:tcMar>
                  <w:vAlign w:val="top"/>
                </w:tcPr>
                <w:p w14:paraId="46063BED">
                  <w:pPr>
                    <w:pStyle w:val="5"/>
                    <w:ind w:firstLine="426"/>
                    <w:jc w:val="left"/>
                  </w:pPr>
                  <w:r>
                    <w:rPr>
                      <w:rFonts w:ascii="仿宋_GB2312" w:hAnsi="仿宋_GB2312" w:eastAsia="仿宋_GB2312" w:cs="仿宋_GB2312"/>
                      <w:color w:val="000000"/>
                      <w:sz w:val="22"/>
                    </w:rPr>
                    <w:t>驾驶员需持三轮汽车驾驶证，至少配备30人（1人1车）</w:t>
                  </w:r>
                </w:p>
              </w:tc>
              <w:tc>
                <w:tcPr>
                  <w:tcW w:w="2055" w:type="dxa"/>
                  <w:tcBorders>
                    <w:top w:val="nil"/>
                    <w:left w:val="nil"/>
                    <w:bottom w:val="single" w:color="000000" w:sz="4" w:space="0"/>
                    <w:right w:val="single" w:color="000000" w:sz="4" w:space="0"/>
                  </w:tcBorders>
                  <w:tcMar>
                    <w:top w:w="0" w:type="dxa"/>
                    <w:left w:w="105" w:type="dxa"/>
                    <w:bottom w:w="0" w:type="dxa"/>
                    <w:right w:w="105" w:type="dxa"/>
                  </w:tcMar>
                  <w:vAlign w:val="top"/>
                </w:tcPr>
                <w:p w14:paraId="26DBD7DA">
                  <w:pPr>
                    <w:pStyle w:val="5"/>
                    <w:ind w:firstLine="426"/>
                    <w:jc w:val="left"/>
                  </w:pPr>
                  <w:r>
                    <w:rPr>
                      <w:rFonts w:ascii="仿宋_GB2312" w:hAnsi="仿宋_GB2312" w:eastAsia="仿宋_GB2312" w:cs="仿宋_GB2312"/>
                      <w:color w:val="000000"/>
                      <w:sz w:val="22"/>
                    </w:rPr>
                    <w:t>车辆由采购人提供，运输燃油费、修理费、车辆保险及人员工资（含保险）等费用由中标人承担</w:t>
                  </w:r>
                </w:p>
              </w:tc>
            </w:tr>
            <w:tr w14:paraId="5F13419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4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79DAF3A">
                  <w:pPr>
                    <w:pStyle w:val="5"/>
                    <w:jc w:val="left"/>
                  </w:pPr>
                  <w:r>
                    <w:rPr>
                      <w:rFonts w:ascii="仿宋_GB2312" w:hAnsi="仿宋_GB2312" w:eastAsia="仿宋_GB2312" w:cs="仿宋_GB2312"/>
                      <w:color w:val="000000"/>
                      <w:sz w:val="22"/>
                    </w:rPr>
                    <w:t>2</w:t>
                  </w:r>
                </w:p>
              </w:tc>
              <w:tc>
                <w:tcPr>
                  <w:tcW w:w="840" w:type="dxa"/>
                  <w:tcBorders>
                    <w:top w:val="nil"/>
                    <w:left w:val="nil"/>
                    <w:bottom w:val="single" w:color="000000" w:sz="4" w:space="0"/>
                    <w:right w:val="single" w:color="000000" w:sz="4" w:space="0"/>
                  </w:tcBorders>
                  <w:tcMar>
                    <w:top w:w="0" w:type="dxa"/>
                    <w:left w:w="105" w:type="dxa"/>
                    <w:bottom w:w="0" w:type="dxa"/>
                    <w:right w:w="105" w:type="dxa"/>
                  </w:tcMar>
                  <w:vAlign w:val="top"/>
                </w:tcPr>
                <w:p w14:paraId="539F4E44">
                  <w:pPr>
                    <w:pStyle w:val="5"/>
                    <w:jc w:val="left"/>
                  </w:pPr>
                  <w:r>
                    <w:rPr>
                      <w:rFonts w:ascii="仿宋_GB2312" w:hAnsi="仿宋_GB2312" w:eastAsia="仿宋_GB2312" w:cs="仿宋_GB2312"/>
                      <w:color w:val="000000"/>
                      <w:sz w:val="22"/>
                    </w:rPr>
                    <w:t>三吨压缩车</w:t>
                  </w:r>
                </w:p>
              </w:tc>
              <w:tc>
                <w:tcPr>
                  <w:tcW w:w="751" w:type="dxa"/>
                  <w:tcBorders>
                    <w:top w:val="nil"/>
                    <w:left w:val="nil"/>
                    <w:bottom w:val="single" w:color="000000" w:sz="4" w:space="0"/>
                    <w:right w:val="single" w:color="000000" w:sz="4" w:space="0"/>
                  </w:tcBorders>
                  <w:tcMar>
                    <w:top w:w="0" w:type="dxa"/>
                    <w:left w:w="105" w:type="dxa"/>
                    <w:bottom w:w="0" w:type="dxa"/>
                    <w:right w:w="105" w:type="dxa"/>
                  </w:tcMar>
                  <w:vAlign w:val="top"/>
                </w:tcPr>
                <w:p w14:paraId="4E9CE465">
                  <w:pPr>
                    <w:pStyle w:val="5"/>
                    <w:ind w:firstLine="426"/>
                    <w:jc w:val="left"/>
                  </w:pPr>
                  <w:r>
                    <w:rPr>
                      <w:rFonts w:ascii="仿宋_GB2312" w:hAnsi="仿宋_GB2312" w:eastAsia="仿宋_GB2312" w:cs="仿宋_GB2312"/>
                      <w:color w:val="000000"/>
                      <w:sz w:val="22"/>
                    </w:rPr>
                    <w:t>20</w:t>
                  </w:r>
                </w:p>
              </w:tc>
              <w:tc>
                <w:tcPr>
                  <w:tcW w:w="1403" w:type="dxa"/>
                  <w:tcBorders>
                    <w:top w:val="nil"/>
                    <w:left w:val="nil"/>
                    <w:bottom w:val="single" w:color="000000" w:sz="4" w:space="0"/>
                    <w:right w:val="single" w:color="000000" w:sz="4" w:space="0"/>
                  </w:tcBorders>
                  <w:tcMar>
                    <w:top w:w="0" w:type="dxa"/>
                    <w:left w:w="105" w:type="dxa"/>
                    <w:bottom w:w="0" w:type="dxa"/>
                    <w:right w:w="105" w:type="dxa"/>
                  </w:tcMar>
                  <w:vAlign w:val="top"/>
                </w:tcPr>
                <w:p w14:paraId="0E6E1E07">
                  <w:pPr>
                    <w:pStyle w:val="5"/>
                    <w:jc w:val="left"/>
                  </w:pPr>
                  <w:r>
                    <w:rPr>
                      <w:rFonts w:ascii="仿宋_GB2312" w:hAnsi="仿宋_GB2312" w:eastAsia="仿宋_GB2312" w:cs="仿宋_GB2312"/>
                      <w:color w:val="000000"/>
                      <w:sz w:val="22"/>
                    </w:rPr>
                    <w:t>驾驶员需持B照及以上，至少配备驾驶员20人，环卫操作工人20人（1车2人）</w:t>
                  </w:r>
                </w:p>
              </w:tc>
              <w:tc>
                <w:tcPr>
                  <w:tcW w:w="2055" w:type="dxa"/>
                  <w:tcBorders>
                    <w:top w:val="nil"/>
                    <w:left w:val="nil"/>
                    <w:bottom w:val="single" w:color="000000" w:sz="4" w:space="0"/>
                    <w:right w:val="single" w:color="000000" w:sz="4" w:space="0"/>
                  </w:tcBorders>
                  <w:tcMar>
                    <w:top w:w="0" w:type="dxa"/>
                    <w:left w:w="105" w:type="dxa"/>
                    <w:bottom w:w="0" w:type="dxa"/>
                    <w:right w:w="105" w:type="dxa"/>
                  </w:tcMar>
                  <w:vAlign w:val="top"/>
                </w:tcPr>
                <w:p w14:paraId="3D9B02C0">
                  <w:pPr>
                    <w:pStyle w:val="5"/>
                    <w:jc w:val="left"/>
                  </w:pPr>
                  <w:r>
                    <w:rPr>
                      <w:rFonts w:ascii="仿宋_GB2312" w:hAnsi="仿宋_GB2312" w:eastAsia="仿宋_GB2312" w:cs="仿宋_GB2312"/>
                      <w:color w:val="000000"/>
                      <w:sz w:val="22"/>
                    </w:rPr>
                    <w:t>车辆由采购人提供，运输燃油费、修理费、车辆保险及人员工资（含保险）等费用由中标人承担</w:t>
                  </w:r>
                </w:p>
              </w:tc>
            </w:tr>
          </w:tbl>
          <w:p w14:paraId="448A61A7">
            <w:pPr>
              <w:pStyle w:val="5"/>
              <w:ind w:firstLine="426"/>
              <w:jc w:val="left"/>
            </w:pPr>
            <w:r>
              <w:rPr>
                <w:rFonts w:ascii="仿宋_GB2312" w:hAnsi="仿宋_GB2312" w:eastAsia="仿宋_GB2312" w:cs="仿宋_GB2312"/>
                <w:color w:val="000000"/>
                <w:sz w:val="22"/>
              </w:rPr>
              <w:t>（2）县城区红旗中转站环卫作业车辆</w:t>
            </w:r>
          </w:p>
          <w:tbl>
            <w:tblPr>
              <w:tblStyle w:val="2"/>
              <w:tblW w:w="0" w:type="auto"/>
              <w:tblInd w:w="30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746"/>
              <w:gridCol w:w="711"/>
              <w:gridCol w:w="870"/>
              <w:gridCol w:w="1382"/>
              <w:gridCol w:w="1584"/>
            </w:tblGrid>
            <w:tr w14:paraId="7714E6D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586FFD9D">
                  <w:pPr>
                    <w:pStyle w:val="5"/>
                    <w:jc w:val="left"/>
                  </w:pPr>
                  <w:r>
                    <w:rPr>
                      <w:rFonts w:ascii="仿宋_GB2312" w:hAnsi="仿宋_GB2312" w:eastAsia="仿宋_GB2312" w:cs="仿宋_GB2312"/>
                      <w:color w:val="000000"/>
                      <w:sz w:val="22"/>
                    </w:rPr>
                    <w:t>序号</w:t>
                  </w:r>
                </w:p>
              </w:tc>
              <w:tc>
                <w:tcPr>
                  <w:tcW w:w="74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2E261B3B">
                  <w:pPr>
                    <w:pStyle w:val="5"/>
                    <w:jc w:val="left"/>
                  </w:pPr>
                  <w:r>
                    <w:rPr>
                      <w:rFonts w:ascii="仿宋_GB2312" w:hAnsi="仿宋_GB2312" w:eastAsia="仿宋_GB2312" w:cs="仿宋_GB2312"/>
                      <w:color w:val="000000"/>
                      <w:sz w:val="22"/>
                    </w:rPr>
                    <w:t>车辆类型</w:t>
                  </w:r>
                </w:p>
              </w:tc>
              <w:tc>
                <w:tcPr>
                  <w:tcW w:w="69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53D0EDBD">
                  <w:pPr>
                    <w:pStyle w:val="5"/>
                    <w:jc w:val="left"/>
                  </w:pPr>
                  <w:r>
                    <w:rPr>
                      <w:rFonts w:ascii="仿宋_GB2312" w:hAnsi="仿宋_GB2312" w:eastAsia="仿宋_GB2312" w:cs="仿宋_GB2312"/>
                      <w:color w:val="000000"/>
                      <w:sz w:val="22"/>
                    </w:rPr>
                    <w:t>数量（辆）</w:t>
                  </w:r>
                </w:p>
              </w:tc>
              <w:tc>
                <w:tcPr>
                  <w:tcW w:w="166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5A3E45B4">
                  <w:pPr>
                    <w:pStyle w:val="5"/>
                    <w:ind w:firstLine="426"/>
                    <w:jc w:val="left"/>
                  </w:pPr>
                  <w:r>
                    <w:rPr>
                      <w:rFonts w:ascii="仿宋_GB2312" w:hAnsi="仿宋_GB2312" w:eastAsia="仿宋_GB2312" w:cs="仿宋_GB2312"/>
                      <w:color w:val="000000"/>
                      <w:sz w:val="22"/>
                    </w:rPr>
                    <w:t>人员配置要求</w:t>
                  </w:r>
                </w:p>
              </w:tc>
              <w:tc>
                <w:tcPr>
                  <w:tcW w:w="1973"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7DF2231A">
                  <w:pPr>
                    <w:pStyle w:val="5"/>
                    <w:ind w:firstLine="426"/>
                    <w:jc w:val="left"/>
                  </w:pPr>
                  <w:r>
                    <w:rPr>
                      <w:rFonts w:ascii="仿宋_GB2312" w:hAnsi="仿宋_GB2312" w:eastAsia="仿宋_GB2312" w:cs="仿宋_GB2312"/>
                      <w:color w:val="000000"/>
                      <w:sz w:val="22"/>
                    </w:rPr>
                    <w:t>备注</w:t>
                  </w:r>
                </w:p>
              </w:tc>
            </w:tr>
            <w:tr w14:paraId="4BD5DA57">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7B61308">
                  <w:pPr>
                    <w:pStyle w:val="5"/>
                    <w:ind w:firstLine="426"/>
                    <w:jc w:val="left"/>
                  </w:pPr>
                  <w:r>
                    <w:rPr>
                      <w:rFonts w:ascii="仿宋_GB2312" w:hAnsi="仿宋_GB2312" w:eastAsia="仿宋_GB2312" w:cs="仿宋_GB2312"/>
                      <w:color w:val="000000"/>
                      <w:sz w:val="22"/>
                    </w:rPr>
                    <w:t>1</w:t>
                  </w:r>
                </w:p>
              </w:tc>
              <w:tc>
                <w:tcPr>
                  <w:tcW w:w="743" w:type="dxa"/>
                  <w:tcBorders>
                    <w:top w:val="nil"/>
                    <w:left w:val="nil"/>
                    <w:bottom w:val="single" w:color="000000" w:sz="4" w:space="0"/>
                    <w:right w:val="single" w:color="000000" w:sz="4" w:space="0"/>
                  </w:tcBorders>
                  <w:tcMar>
                    <w:top w:w="0" w:type="dxa"/>
                    <w:left w:w="105" w:type="dxa"/>
                    <w:bottom w:w="0" w:type="dxa"/>
                    <w:right w:w="105" w:type="dxa"/>
                  </w:tcMar>
                  <w:vAlign w:val="top"/>
                </w:tcPr>
                <w:p w14:paraId="0402837E">
                  <w:pPr>
                    <w:pStyle w:val="5"/>
                    <w:jc w:val="left"/>
                  </w:pPr>
                  <w:r>
                    <w:rPr>
                      <w:rFonts w:ascii="仿宋_GB2312" w:hAnsi="仿宋_GB2312" w:eastAsia="仿宋_GB2312" w:cs="仿宋_GB2312"/>
                      <w:color w:val="000000"/>
                      <w:sz w:val="22"/>
                    </w:rPr>
                    <w:t>压缩箱体垃圾转运车（3轴）</w:t>
                  </w:r>
                </w:p>
              </w:tc>
              <w:tc>
                <w:tcPr>
                  <w:tcW w:w="698" w:type="dxa"/>
                  <w:tcBorders>
                    <w:top w:val="nil"/>
                    <w:left w:val="nil"/>
                    <w:bottom w:val="single" w:color="000000" w:sz="4" w:space="0"/>
                    <w:right w:val="single" w:color="000000" w:sz="4" w:space="0"/>
                  </w:tcBorders>
                  <w:tcMar>
                    <w:top w:w="0" w:type="dxa"/>
                    <w:left w:w="105" w:type="dxa"/>
                    <w:bottom w:w="0" w:type="dxa"/>
                    <w:right w:w="105" w:type="dxa"/>
                  </w:tcMar>
                  <w:vAlign w:val="top"/>
                </w:tcPr>
                <w:p w14:paraId="362F50AA">
                  <w:pPr>
                    <w:pStyle w:val="5"/>
                    <w:ind w:firstLine="426"/>
                    <w:jc w:val="left"/>
                  </w:pPr>
                  <w:r>
                    <w:rPr>
                      <w:rFonts w:ascii="仿宋_GB2312" w:hAnsi="仿宋_GB2312" w:eastAsia="仿宋_GB2312" w:cs="仿宋_GB2312"/>
                      <w:color w:val="000000"/>
                      <w:sz w:val="22"/>
                    </w:rPr>
                    <w:t>3</w:t>
                  </w:r>
                </w:p>
              </w:tc>
              <w:tc>
                <w:tcPr>
                  <w:tcW w:w="1663" w:type="dxa"/>
                  <w:tcBorders>
                    <w:top w:val="nil"/>
                    <w:left w:val="nil"/>
                    <w:bottom w:val="single" w:color="000000" w:sz="4" w:space="0"/>
                    <w:right w:val="single" w:color="000000" w:sz="4" w:space="0"/>
                  </w:tcBorders>
                  <w:tcMar>
                    <w:top w:w="0" w:type="dxa"/>
                    <w:left w:w="105" w:type="dxa"/>
                    <w:bottom w:w="0" w:type="dxa"/>
                    <w:right w:w="105" w:type="dxa"/>
                  </w:tcMar>
                  <w:vAlign w:val="top"/>
                </w:tcPr>
                <w:p w14:paraId="24F14E73">
                  <w:pPr>
                    <w:pStyle w:val="5"/>
                    <w:ind w:firstLine="426"/>
                    <w:jc w:val="left"/>
                  </w:pPr>
                  <w:r>
                    <w:rPr>
                      <w:rFonts w:ascii="仿宋_GB2312" w:hAnsi="仿宋_GB2312" w:eastAsia="仿宋_GB2312" w:cs="仿宋_GB2312"/>
                      <w:color w:val="000000"/>
                      <w:sz w:val="22"/>
                    </w:rPr>
                    <w:t>驾驶员需持B照及以上，至少配备3人（1人1车）</w:t>
                  </w:r>
                </w:p>
              </w:tc>
              <w:tc>
                <w:tcPr>
                  <w:tcW w:w="1973" w:type="dxa"/>
                  <w:tcBorders>
                    <w:top w:val="nil"/>
                    <w:left w:val="nil"/>
                    <w:bottom w:val="single" w:color="000000" w:sz="4" w:space="0"/>
                    <w:right w:val="single" w:color="000000" w:sz="4" w:space="0"/>
                  </w:tcBorders>
                  <w:tcMar>
                    <w:top w:w="0" w:type="dxa"/>
                    <w:left w:w="105" w:type="dxa"/>
                    <w:bottom w:w="0" w:type="dxa"/>
                    <w:right w:w="105" w:type="dxa"/>
                  </w:tcMar>
                  <w:vAlign w:val="top"/>
                </w:tcPr>
                <w:p w14:paraId="3C92EED2">
                  <w:pPr>
                    <w:pStyle w:val="5"/>
                    <w:ind w:firstLine="426"/>
                    <w:jc w:val="left"/>
                  </w:pPr>
                  <w:r>
                    <w:rPr>
                      <w:rFonts w:ascii="仿宋_GB2312" w:hAnsi="仿宋_GB2312" w:eastAsia="仿宋_GB2312" w:cs="仿宋_GB2312"/>
                      <w:color w:val="000000"/>
                      <w:sz w:val="22"/>
                    </w:rPr>
                    <w:t>车辆由采购人提供，运输燃油费、修理费、车辆保险及人员工资（含保险）等费用由中标人承担</w:t>
                  </w:r>
                </w:p>
              </w:tc>
            </w:tr>
            <w:tr w14:paraId="4B4C308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2CE4572">
                  <w:pPr>
                    <w:pStyle w:val="5"/>
                    <w:ind w:firstLine="426"/>
                    <w:jc w:val="left"/>
                  </w:pPr>
                  <w:r>
                    <w:rPr>
                      <w:rFonts w:ascii="仿宋_GB2312" w:hAnsi="仿宋_GB2312" w:eastAsia="仿宋_GB2312" w:cs="仿宋_GB2312"/>
                      <w:color w:val="000000"/>
                      <w:sz w:val="22"/>
                    </w:rPr>
                    <w:t>2</w:t>
                  </w:r>
                </w:p>
              </w:tc>
              <w:tc>
                <w:tcPr>
                  <w:tcW w:w="743" w:type="dxa"/>
                  <w:tcBorders>
                    <w:top w:val="nil"/>
                    <w:left w:val="nil"/>
                    <w:bottom w:val="single" w:color="000000" w:sz="4" w:space="0"/>
                    <w:right w:val="single" w:color="000000" w:sz="4" w:space="0"/>
                  </w:tcBorders>
                  <w:tcMar>
                    <w:top w:w="0" w:type="dxa"/>
                    <w:left w:w="105" w:type="dxa"/>
                    <w:bottom w:w="0" w:type="dxa"/>
                    <w:right w:w="105" w:type="dxa"/>
                  </w:tcMar>
                  <w:vAlign w:val="top"/>
                </w:tcPr>
                <w:p w14:paraId="00EBE972">
                  <w:pPr>
                    <w:pStyle w:val="5"/>
                    <w:jc w:val="left"/>
                  </w:pPr>
                  <w:r>
                    <w:rPr>
                      <w:rFonts w:ascii="仿宋_GB2312" w:hAnsi="仿宋_GB2312" w:eastAsia="仿宋_GB2312" w:cs="仿宋_GB2312"/>
                      <w:color w:val="000000"/>
                      <w:sz w:val="22"/>
                    </w:rPr>
                    <w:t>压缩箱体</w:t>
                  </w:r>
                </w:p>
              </w:tc>
              <w:tc>
                <w:tcPr>
                  <w:tcW w:w="698" w:type="dxa"/>
                  <w:tcBorders>
                    <w:top w:val="nil"/>
                    <w:left w:val="nil"/>
                    <w:bottom w:val="single" w:color="000000" w:sz="4" w:space="0"/>
                    <w:right w:val="single" w:color="000000" w:sz="4" w:space="0"/>
                  </w:tcBorders>
                  <w:tcMar>
                    <w:top w:w="0" w:type="dxa"/>
                    <w:left w:w="105" w:type="dxa"/>
                    <w:bottom w:w="0" w:type="dxa"/>
                    <w:right w:w="105" w:type="dxa"/>
                  </w:tcMar>
                  <w:vAlign w:val="top"/>
                </w:tcPr>
                <w:p w14:paraId="421B8E81">
                  <w:pPr>
                    <w:pStyle w:val="5"/>
                    <w:ind w:firstLine="426"/>
                    <w:jc w:val="left"/>
                  </w:pPr>
                  <w:r>
                    <w:rPr>
                      <w:rFonts w:ascii="仿宋_GB2312" w:hAnsi="仿宋_GB2312" w:eastAsia="仿宋_GB2312" w:cs="仿宋_GB2312"/>
                      <w:color w:val="000000"/>
                      <w:sz w:val="22"/>
                    </w:rPr>
                    <w:t>24</w:t>
                  </w:r>
                </w:p>
              </w:tc>
              <w:tc>
                <w:tcPr>
                  <w:tcW w:w="1663" w:type="dxa"/>
                  <w:tcBorders>
                    <w:top w:val="nil"/>
                    <w:left w:val="nil"/>
                    <w:bottom w:val="single" w:color="000000" w:sz="4" w:space="0"/>
                    <w:right w:val="single" w:color="000000" w:sz="4" w:space="0"/>
                  </w:tcBorders>
                  <w:tcMar>
                    <w:top w:w="0" w:type="dxa"/>
                    <w:left w:w="105" w:type="dxa"/>
                    <w:bottom w:w="0" w:type="dxa"/>
                    <w:right w:w="105" w:type="dxa"/>
                  </w:tcMar>
                  <w:vAlign w:val="top"/>
                </w:tcPr>
                <w:p w14:paraId="28876AD5">
                  <w:pPr>
                    <w:pStyle w:val="5"/>
                    <w:ind w:firstLine="426"/>
                    <w:jc w:val="left"/>
                  </w:pPr>
                  <w:r>
                    <w:rPr>
                      <w:rFonts w:ascii="仿宋_GB2312" w:hAnsi="仿宋_GB2312" w:eastAsia="仿宋_GB2312" w:cs="仿宋_GB2312"/>
                      <w:color w:val="000000"/>
                      <w:sz w:val="22"/>
                    </w:rPr>
                    <w:t>经过培训能熟练操作设备</w:t>
                  </w:r>
                </w:p>
              </w:tc>
              <w:tc>
                <w:tcPr>
                  <w:tcW w:w="1973" w:type="dxa"/>
                  <w:tcBorders>
                    <w:top w:val="nil"/>
                    <w:left w:val="nil"/>
                    <w:bottom w:val="single" w:color="000000" w:sz="4" w:space="0"/>
                    <w:right w:val="single" w:color="000000" w:sz="4" w:space="0"/>
                  </w:tcBorders>
                  <w:tcMar>
                    <w:top w:w="0" w:type="dxa"/>
                    <w:left w:w="105" w:type="dxa"/>
                    <w:bottom w:w="0" w:type="dxa"/>
                    <w:right w:w="105" w:type="dxa"/>
                  </w:tcMar>
                  <w:vAlign w:val="top"/>
                </w:tcPr>
                <w:p w14:paraId="2E74C491">
                  <w:pPr>
                    <w:pStyle w:val="5"/>
                    <w:ind w:firstLine="426"/>
                    <w:jc w:val="left"/>
                  </w:pPr>
                  <w:r>
                    <w:rPr>
                      <w:rFonts w:ascii="仿宋_GB2312" w:hAnsi="仿宋_GB2312" w:eastAsia="仿宋_GB2312" w:cs="仿宋_GB2312"/>
                      <w:color w:val="000000"/>
                      <w:sz w:val="22"/>
                    </w:rPr>
                    <w:t>设备由采购人提供，维修费等费用由中标人承担</w:t>
                  </w:r>
                </w:p>
              </w:tc>
            </w:tr>
            <w:tr w14:paraId="6C6773C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D448EB1">
                  <w:pPr>
                    <w:pStyle w:val="5"/>
                    <w:ind w:firstLine="426"/>
                    <w:jc w:val="left"/>
                  </w:pPr>
                  <w:r>
                    <w:rPr>
                      <w:rFonts w:ascii="仿宋_GB2312" w:hAnsi="仿宋_GB2312" w:eastAsia="仿宋_GB2312" w:cs="仿宋_GB2312"/>
                      <w:color w:val="000000"/>
                      <w:sz w:val="22"/>
                    </w:rPr>
                    <w:t>3</w:t>
                  </w:r>
                </w:p>
              </w:tc>
              <w:tc>
                <w:tcPr>
                  <w:tcW w:w="743" w:type="dxa"/>
                  <w:tcBorders>
                    <w:top w:val="nil"/>
                    <w:left w:val="nil"/>
                    <w:bottom w:val="single" w:color="000000" w:sz="4" w:space="0"/>
                    <w:right w:val="single" w:color="000000" w:sz="4" w:space="0"/>
                  </w:tcBorders>
                  <w:tcMar>
                    <w:top w:w="0" w:type="dxa"/>
                    <w:left w:w="105" w:type="dxa"/>
                    <w:bottom w:w="0" w:type="dxa"/>
                    <w:right w:w="105" w:type="dxa"/>
                  </w:tcMar>
                  <w:vAlign w:val="top"/>
                </w:tcPr>
                <w:p w14:paraId="68782CCE">
                  <w:pPr>
                    <w:pStyle w:val="5"/>
                    <w:jc w:val="left"/>
                  </w:pPr>
                  <w:r>
                    <w:rPr>
                      <w:rFonts w:ascii="仿宋_GB2312" w:hAnsi="仿宋_GB2312" w:eastAsia="仿宋_GB2312" w:cs="仿宋_GB2312"/>
                      <w:color w:val="000000"/>
                      <w:sz w:val="22"/>
                    </w:rPr>
                    <w:t>红旗中转站垃圾压缩系统</w:t>
                  </w:r>
                </w:p>
              </w:tc>
              <w:tc>
                <w:tcPr>
                  <w:tcW w:w="698" w:type="dxa"/>
                  <w:tcBorders>
                    <w:top w:val="nil"/>
                    <w:left w:val="nil"/>
                    <w:bottom w:val="single" w:color="000000" w:sz="4" w:space="0"/>
                    <w:right w:val="single" w:color="000000" w:sz="4" w:space="0"/>
                  </w:tcBorders>
                  <w:tcMar>
                    <w:top w:w="0" w:type="dxa"/>
                    <w:left w:w="105" w:type="dxa"/>
                    <w:bottom w:w="0" w:type="dxa"/>
                    <w:right w:w="105" w:type="dxa"/>
                  </w:tcMar>
                  <w:vAlign w:val="top"/>
                </w:tcPr>
                <w:p w14:paraId="727BD131">
                  <w:pPr>
                    <w:pStyle w:val="5"/>
                    <w:ind w:firstLine="426"/>
                    <w:jc w:val="left"/>
                  </w:pPr>
                  <w:r>
                    <w:rPr>
                      <w:rFonts w:ascii="仿宋_GB2312" w:hAnsi="仿宋_GB2312" w:eastAsia="仿宋_GB2312" w:cs="仿宋_GB2312"/>
                      <w:color w:val="000000"/>
                      <w:sz w:val="22"/>
                    </w:rPr>
                    <w:t>1</w:t>
                  </w:r>
                </w:p>
              </w:tc>
              <w:tc>
                <w:tcPr>
                  <w:tcW w:w="1663" w:type="dxa"/>
                  <w:tcBorders>
                    <w:top w:val="nil"/>
                    <w:left w:val="nil"/>
                    <w:bottom w:val="single" w:color="000000" w:sz="4" w:space="0"/>
                    <w:right w:val="single" w:color="000000" w:sz="4" w:space="0"/>
                  </w:tcBorders>
                  <w:tcMar>
                    <w:top w:w="0" w:type="dxa"/>
                    <w:left w:w="105" w:type="dxa"/>
                    <w:bottom w:w="0" w:type="dxa"/>
                    <w:right w:w="105" w:type="dxa"/>
                  </w:tcMar>
                  <w:vAlign w:val="top"/>
                </w:tcPr>
                <w:p w14:paraId="06A859D8">
                  <w:pPr>
                    <w:pStyle w:val="5"/>
                    <w:ind w:firstLine="426"/>
                    <w:jc w:val="left"/>
                  </w:pPr>
                  <w:r>
                    <w:rPr>
                      <w:rFonts w:ascii="仿宋_GB2312" w:hAnsi="仿宋_GB2312" w:eastAsia="仿宋_GB2312" w:cs="仿宋_GB2312"/>
                      <w:color w:val="000000"/>
                      <w:sz w:val="22"/>
                    </w:rPr>
                    <w:t>经过培训能熟练操作设备</w:t>
                  </w:r>
                </w:p>
              </w:tc>
              <w:tc>
                <w:tcPr>
                  <w:tcW w:w="1973" w:type="dxa"/>
                  <w:tcBorders>
                    <w:top w:val="nil"/>
                    <w:left w:val="nil"/>
                    <w:bottom w:val="single" w:color="000000" w:sz="4" w:space="0"/>
                    <w:right w:val="single" w:color="000000" w:sz="4" w:space="0"/>
                  </w:tcBorders>
                  <w:tcMar>
                    <w:top w:w="0" w:type="dxa"/>
                    <w:left w:w="105" w:type="dxa"/>
                    <w:bottom w:w="0" w:type="dxa"/>
                    <w:right w:w="105" w:type="dxa"/>
                  </w:tcMar>
                  <w:vAlign w:val="top"/>
                </w:tcPr>
                <w:p w14:paraId="38CE2451">
                  <w:pPr>
                    <w:pStyle w:val="5"/>
                    <w:ind w:firstLine="426"/>
                    <w:jc w:val="left"/>
                  </w:pPr>
                  <w:r>
                    <w:rPr>
                      <w:rFonts w:ascii="仿宋_GB2312" w:hAnsi="仿宋_GB2312" w:eastAsia="仿宋_GB2312" w:cs="仿宋_GB2312"/>
                      <w:color w:val="000000"/>
                      <w:sz w:val="22"/>
                    </w:rPr>
                    <w:t>设备由采购人提供，维修费等费用由中标人承担</w:t>
                  </w:r>
                </w:p>
              </w:tc>
            </w:tr>
            <w:tr w14:paraId="3787F2B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4A733738">
                  <w:pPr>
                    <w:pStyle w:val="5"/>
                    <w:ind w:firstLine="426"/>
                    <w:jc w:val="left"/>
                  </w:pPr>
                  <w:r>
                    <w:rPr>
                      <w:rFonts w:ascii="仿宋_GB2312" w:hAnsi="仿宋_GB2312" w:eastAsia="仿宋_GB2312" w:cs="仿宋_GB2312"/>
                      <w:color w:val="000000"/>
                      <w:sz w:val="22"/>
                    </w:rPr>
                    <w:t>4</w:t>
                  </w:r>
                </w:p>
              </w:tc>
              <w:tc>
                <w:tcPr>
                  <w:tcW w:w="743" w:type="dxa"/>
                  <w:tcBorders>
                    <w:top w:val="nil"/>
                    <w:left w:val="nil"/>
                    <w:bottom w:val="single" w:color="000000" w:sz="4" w:space="0"/>
                    <w:right w:val="single" w:color="000000" w:sz="4" w:space="0"/>
                  </w:tcBorders>
                  <w:tcMar>
                    <w:top w:w="0" w:type="dxa"/>
                    <w:left w:w="105" w:type="dxa"/>
                    <w:bottom w:w="0" w:type="dxa"/>
                    <w:right w:w="105" w:type="dxa"/>
                  </w:tcMar>
                  <w:vAlign w:val="top"/>
                </w:tcPr>
                <w:p w14:paraId="27710747">
                  <w:pPr>
                    <w:pStyle w:val="5"/>
                    <w:jc w:val="both"/>
                  </w:pPr>
                  <w:r>
                    <w:rPr>
                      <w:rFonts w:ascii="仿宋_GB2312" w:hAnsi="仿宋_GB2312" w:eastAsia="仿宋_GB2312" w:cs="仿宋_GB2312"/>
                      <w:color w:val="000000"/>
                      <w:sz w:val="22"/>
                    </w:rPr>
                    <w:t>配套集装箱体</w:t>
                  </w:r>
                </w:p>
              </w:tc>
              <w:tc>
                <w:tcPr>
                  <w:tcW w:w="698" w:type="dxa"/>
                  <w:tcBorders>
                    <w:top w:val="nil"/>
                    <w:left w:val="nil"/>
                    <w:bottom w:val="single" w:color="000000" w:sz="4" w:space="0"/>
                    <w:right w:val="single" w:color="000000" w:sz="4" w:space="0"/>
                  </w:tcBorders>
                  <w:tcMar>
                    <w:top w:w="0" w:type="dxa"/>
                    <w:left w:w="105" w:type="dxa"/>
                    <w:bottom w:w="0" w:type="dxa"/>
                    <w:right w:w="105" w:type="dxa"/>
                  </w:tcMar>
                  <w:vAlign w:val="top"/>
                </w:tcPr>
                <w:p w14:paraId="5A57E2E3">
                  <w:pPr>
                    <w:pStyle w:val="5"/>
                    <w:ind w:firstLine="426"/>
                    <w:jc w:val="left"/>
                  </w:pPr>
                  <w:r>
                    <w:rPr>
                      <w:rFonts w:ascii="仿宋_GB2312" w:hAnsi="仿宋_GB2312" w:eastAsia="仿宋_GB2312" w:cs="仿宋_GB2312"/>
                      <w:color w:val="000000"/>
                      <w:sz w:val="22"/>
                    </w:rPr>
                    <w:t>10</w:t>
                  </w:r>
                </w:p>
              </w:tc>
              <w:tc>
                <w:tcPr>
                  <w:tcW w:w="1663" w:type="dxa"/>
                  <w:tcBorders>
                    <w:top w:val="nil"/>
                    <w:left w:val="nil"/>
                    <w:bottom w:val="single" w:color="000000" w:sz="4" w:space="0"/>
                    <w:right w:val="single" w:color="000000" w:sz="4" w:space="0"/>
                  </w:tcBorders>
                  <w:tcMar>
                    <w:top w:w="0" w:type="dxa"/>
                    <w:left w:w="105" w:type="dxa"/>
                    <w:bottom w:w="0" w:type="dxa"/>
                    <w:right w:w="105" w:type="dxa"/>
                  </w:tcMar>
                  <w:vAlign w:val="top"/>
                </w:tcPr>
                <w:p w14:paraId="43174BF4">
                  <w:pPr>
                    <w:pStyle w:val="5"/>
                    <w:ind w:firstLine="426"/>
                    <w:jc w:val="left"/>
                  </w:pPr>
                  <w:r>
                    <w:rPr>
                      <w:rFonts w:ascii="仿宋_GB2312" w:hAnsi="仿宋_GB2312" w:eastAsia="仿宋_GB2312" w:cs="仿宋_GB2312"/>
                      <w:color w:val="000000"/>
                      <w:sz w:val="22"/>
                    </w:rPr>
                    <w:t>经过培训能熟练操作设备</w:t>
                  </w:r>
                </w:p>
              </w:tc>
              <w:tc>
                <w:tcPr>
                  <w:tcW w:w="1973" w:type="dxa"/>
                  <w:tcBorders>
                    <w:top w:val="nil"/>
                    <w:left w:val="nil"/>
                    <w:bottom w:val="single" w:color="000000" w:sz="4" w:space="0"/>
                    <w:right w:val="single" w:color="000000" w:sz="4" w:space="0"/>
                  </w:tcBorders>
                  <w:tcMar>
                    <w:top w:w="0" w:type="dxa"/>
                    <w:left w:w="105" w:type="dxa"/>
                    <w:bottom w:w="0" w:type="dxa"/>
                    <w:right w:w="105" w:type="dxa"/>
                  </w:tcMar>
                  <w:vAlign w:val="top"/>
                </w:tcPr>
                <w:p w14:paraId="6EDED86F">
                  <w:pPr>
                    <w:pStyle w:val="5"/>
                    <w:ind w:firstLine="426"/>
                    <w:jc w:val="left"/>
                  </w:pPr>
                  <w:r>
                    <w:rPr>
                      <w:rFonts w:ascii="仿宋_GB2312" w:hAnsi="仿宋_GB2312" w:eastAsia="仿宋_GB2312" w:cs="仿宋_GB2312"/>
                      <w:color w:val="000000"/>
                      <w:sz w:val="22"/>
                    </w:rPr>
                    <w:t>设备由采购人提供，维修费等费用由中标人承担</w:t>
                  </w:r>
                </w:p>
              </w:tc>
            </w:tr>
            <w:tr w14:paraId="34984D66">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1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12385DD">
                  <w:pPr>
                    <w:pStyle w:val="5"/>
                    <w:ind w:firstLine="426"/>
                    <w:jc w:val="left"/>
                  </w:pPr>
                  <w:r>
                    <w:rPr>
                      <w:rFonts w:ascii="仿宋_GB2312" w:hAnsi="仿宋_GB2312" w:eastAsia="仿宋_GB2312" w:cs="仿宋_GB2312"/>
                      <w:color w:val="000000"/>
                      <w:sz w:val="22"/>
                    </w:rPr>
                    <w:t>5</w:t>
                  </w:r>
                </w:p>
              </w:tc>
              <w:tc>
                <w:tcPr>
                  <w:tcW w:w="743" w:type="dxa"/>
                  <w:tcBorders>
                    <w:top w:val="nil"/>
                    <w:left w:val="nil"/>
                    <w:bottom w:val="single" w:color="000000" w:sz="4" w:space="0"/>
                    <w:right w:val="single" w:color="000000" w:sz="4" w:space="0"/>
                  </w:tcBorders>
                  <w:tcMar>
                    <w:top w:w="0" w:type="dxa"/>
                    <w:left w:w="105" w:type="dxa"/>
                    <w:bottom w:w="0" w:type="dxa"/>
                    <w:right w:w="105" w:type="dxa"/>
                  </w:tcMar>
                  <w:vAlign w:val="top"/>
                </w:tcPr>
                <w:p w14:paraId="65747B47">
                  <w:pPr>
                    <w:pStyle w:val="5"/>
                    <w:jc w:val="both"/>
                  </w:pPr>
                  <w:r>
                    <w:rPr>
                      <w:rFonts w:ascii="仿宋_GB2312" w:hAnsi="仿宋_GB2312" w:eastAsia="仿宋_GB2312" w:cs="仿宋_GB2312"/>
                      <w:color w:val="000000"/>
                      <w:sz w:val="22"/>
                    </w:rPr>
                    <w:t>高压冲洗车</w:t>
                  </w:r>
                </w:p>
              </w:tc>
              <w:tc>
                <w:tcPr>
                  <w:tcW w:w="698" w:type="dxa"/>
                  <w:tcBorders>
                    <w:top w:val="nil"/>
                    <w:left w:val="nil"/>
                    <w:bottom w:val="single" w:color="000000" w:sz="4" w:space="0"/>
                    <w:right w:val="single" w:color="000000" w:sz="4" w:space="0"/>
                  </w:tcBorders>
                  <w:tcMar>
                    <w:top w:w="0" w:type="dxa"/>
                    <w:left w:w="105" w:type="dxa"/>
                    <w:bottom w:w="0" w:type="dxa"/>
                    <w:right w:w="105" w:type="dxa"/>
                  </w:tcMar>
                  <w:vAlign w:val="top"/>
                </w:tcPr>
                <w:p w14:paraId="776176D0">
                  <w:pPr>
                    <w:pStyle w:val="5"/>
                    <w:ind w:firstLine="426"/>
                    <w:jc w:val="left"/>
                  </w:pPr>
                  <w:r>
                    <w:rPr>
                      <w:rFonts w:ascii="仿宋_GB2312" w:hAnsi="仿宋_GB2312" w:eastAsia="仿宋_GB2312" w:cs="仿宋_GB2312"/>
                      <w:color w:val="000000"/>
                      <w:sz w:val="22"/>
                    </w:rPr>
                    <w:t>1</w:t>
                  </w:r>
                </w:p>
              </w:tc>
              <w:tc>
                <w:tcPr>
                  <w:tcW w:w="1663" w:type="dxa"/>
                  <w:tcBorders>
                    <w:top w:val="nil"/>
                    <w:left w:val="nil"/>
                    <w:bottom w:val="single" w:color="000000" w:sz="4" w:space="0"/>
                    <w:right w:val="single" w:color="000000" w:sz="4" w:space="0"/>
                  </w:tcBorders>
                  <w:tcMar>
                    <w:top w:w="0" w:type="dxa"/>
                    <w:left w:w="105" w:type="dxa"/>
                    <w:bottom w:w="0" w:type="dxa"/>
                    <w:right w:w="105" w:type="dxa"/>
                  </w:tcMar>
                  <w:vAlign w:val="top"/>
                </w:tcPr>
                <w:p w14:paraId="5A6F4B83">
                  <w:pPr>
                    <w:pStyle w:val="5"/>
                    <w:ind w:firstLine="426"/>
                    <w:jc w:val="left"/>
                  </w:pPr>
                  <w:r>
                    <w:rPr>
                      <w:rFonts w:ascii="仿宋_GB2312" w:hAnsi="仿宋_GB2312" w:eastAsia="仿宋_GB2312" w:cs="仿宋_GB2312"/>
                      <w:color w:val="000000"/>
                      <w:sz w:val="22"/>
                    </w:rPr>
                    <w:t>驾驶员需持符合国家规定驾驶高压冲洗车的驾驶证，至少配备1人（1人1车）</w:t>
                  </w:r>
                </w:p>
              </w:tc>
              <w:tc>
                <w:tcPr>
                  <w:tcW w:w="1973" w:type="dxa"/>
                  <w:tcBorders>
                    <w:top w:val="nil"/>
                    <w:left w:val="nil"/>
                    <w:bottom w:val="single" w:color="000000" w:sz="4" w:space="0"/>
                    <w:right w:val="single" w:color="000000" w:sz="4" w:space="0"/>
                  </w:tcBorders>
                  <w:tcMar>
                    <w:top w:w="0" w:type="dxa"/>
                    <w:left w:w="105" w:type="dxa"/>
                    <w:bottom w:w="0" w:type="dxa"/>
                    <w:right w:w="105" w:type="dxa"/>
                  </w:tcMar>
                  <w:vAlign w:val="top"/>
                </w:tcPr>
                <w:p w14:paraId="1223456A">
                  <w:pPr>
                    <w:pStyle w:val="5"/>
                    <w:ind w:firstLine="426"/>
                    <w:jc w:val="left"/>
                  </w:pPr>
                  <w:r>
                    <w:rPr>
                      <w:rFonts w:ascii="仿宋_GB2312" w:hAnsi="仿宋_GB2312" w:eastAsia="仿宋_GB2312" w:cs="仿宋_GB2312"/>
                      <w:color w:val="000000"/>
                      <w:sz w:val="22"/>
                    </w:rPr>
                    <w:t>设备由中标人提供，维修费等费用由中标人承担</w:t>
                  </w:r>
                </w:p>
              </w:tc>
            </w:tr>
          </w:tbl>
          <w:p w14:paraId="439C8D39">
            <w:pPr>
              <w:pStyle w:val="5"/>
              <w:ind w:firstLine="426"/>
              <w:jc w:val="left"/>
            </w:pPr>
            <w:r>
              <w:rPr>
                <w:rFonts w:ascii="仿宋_GB2312" w:hAnsi="仿宋_GB2312" w:eastAsia="仿宋_GB2312" w:cs="仿宋_GB2312"/>
                <w:color w:val="000000"/>
                <w:sz w:val="22"/>
              </w:rPr>
              <w:t>（3）外运至乐山环卫作业车辆</w:t>
            </w:r>
          </w:p>
          <w:tbl>
            <w:tblPr>
              <w:tblStyle w:val="2"/>
              <w:tblW w:w="0" w:type="auto"/>
              <w:tblInd w:w="315"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746"/>
              <w:gridCol w:w="762"/>
              <w:gridCol w:w="870"/>
              <w:gridCol w:w="1228"/>
              <w:gridCol w:w="1672"/>
            </w:tblGrid>
            <w:tr w14:paraId="361E88C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65"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0D244C6C">
                  <w:pPr>
                    <w:pStyle w:val="5"/>
                    <w:jc w:val="left"/>
                  </w:pPr>
                  <w:r>
                    <w:rPr>
                      <w:rFonts w:ascii="仿宋_GB2312" w:hAnsi="仿宋_GB2312" w:eastAsia="仿宋_GB2312" w:cs="仿宋_GB2312"/>
                      <w:color w:val="000000"/>
                      <w:sz w:val="22"/>
                    </w:rPr>
                    <w:t>序号</w:t>
                  </w:r>
                </w:p>
              </w:tc>
              <w:tc>
                <w:tcPr>
                  <w:tcW w:w="809"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090076E">
                  <w:pPr>
                    <w:pStyle w:val="5"/>
                    <w:jc w:val="left"/>
                  </w:pPr>
                  <w:r>
                    <w:rPr>
                      <w:rFonts w:ascii="仿宋_GB2312" w:hAnsi="仿宋_GB2312" w:eastAsia="仿宋_GB2312" w:cs="仿宋_GB2312"/>
                      <w:color w:val="000000"/>
                      <w:sz w:val="22"/>
                    </w:rPr>
                    <w:t>车辆类型</w:t>
                  </w:r>
                </w:p>
              </w:tc>
              <w:tc>
                <w:tcPr>
                  <w:tcW w:w="798"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00DF1808">
                  <w:pPr>
                    <w:pStyle w:val="5"/>
                    <w:jc w:val="left"/>
                  </w:pPr>
                  <w:r>
                    <w:rPr>
                      <w:rFonts w:ascii="仿宋_GB2312" w:hAnsi="仿宋_GB2312" w:eastAsia="仿宋_GB2312" w:cs="仿宋_GB2312"/>
                      <w:color w:val="000000"/>
                      <w:sz w:val="22"/>
                    </w:rPr>
                    <w:t>数量（辆）</w:t>
                  </w:r>
                </w:p>
              </w:tc>
              <w:tc>
                <w:tcPr>
                  <w:tcW w:w="1385"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3A00A2AA">
                  <w:pPr>
                    <w:pStyle w:val="5"/>
                    <w:jc w:val="left"/>
                  </w:pPr>
                  <w:r>
                    <w:rPr>
                      <w:rFonts w:ascii="仿宋_GB2312" w:hAnsi="仿宋_GB2312" w:eastAsia="仿宋_GB2312" w:cs="仿宋_GB2312"/>
                      <w:color w:val="000000"/>
                      <w:sz w:val="22"/>
                    </w:rPr>
                    <w:t>人员配置要求</w:t>
                  </w:r>
                </w:p>
              </w:tc>
              <w:tc>
                <w:tcPr>
                  <w:tcW w:w="2016" w:type="dxa"/>
                  <w:tcBorders>
                    <w:top w:val="single" w:color="000000" w:sz="4" w:space="0"/>
                    <w:left w:val="nil"/>
                    <w:bottom w:val="single" w:color="000000" w:sz="4" w:space="0"/>
                    <w:right w:val="single" w:color="000000" w:sz="4" w:space="0"/>
                  </w:tcBorders>
                  <w:tcMar>
                    <w:top w:w="0" w:type="dxa"/>
                    <w:left w:w="105" w:type="dxa"/>
                    <w:bottom w:w="0" w:type="dxa"/>
                    <w:right w:w="105" w:type="dxa"/>
                  </w:tcMar>
                  <w:vAlign w:val="top"/>
                </w:tcPr>
                <w:p w14:paraId="53BADAF7">
                  <w:pPr>
                    <w:pStyle w:val="5"/>
                    <w:ind w:firstLine="426"/>
                    <w:jc w:val="left"/>
                  </w:pPr>
                  <w:r>
                    <w:rPr>
                      <w:rFonts w:ascii="仿宋_GB2312" w:hAnsi="仿宋_GB2312" w:eastAsia="仿宋_GB2312" w:cs="仿宋_GB2312"/>
                      <w:color w:val="000000"/>
                      <w:sz w:val="22"/>
                    </w:rPr>
                    <w:t>备注</w:t>
                  </w:r>
                </w:p>
              </w:tc>
            </w:tr>
            <w:tr w14:paraId="77379D1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465"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A08F454">
                  <w:pPr>
                    <w:pStyle w:val="5"/>
                    <w:ind w:firstLine="426"/>
                    <w:jc w:val="left"/>
                  </w:pPr>
                  <w:r>
                    <w:rPr>
                      <w:rFonts w:ascii="仿宋_GB2312" w:hAnsi="仿宋_GB2312" w:eastAsia="仿宋_GB2312" w:cs="仿宋_GB2312"/>
                      <w:color w:val="000000"/>
                      <w:sz w:val="22"/>
                    </w:rPr>
                    <w:t>1</w:t>
                  </w:r>
                </w:p>
              </w:tc>
              <w:tc>
                <w:tcPr>
                  <w:tcW w:w="809" w:type="dxa"/>
                  <w:tcBorders>
                    <w:top w:val="nil"/>
                    <w:left w:val="nil"/>
                    <w:bottom w:val="single" w:color="000000" w:sz="4" w:space="0"/>
                    <w:right w:val="single" w:color="000000" w:sz="4" w:space="0"/>
                  </w:tcBorders>
                  <w:tcMar>
                    <w:top w:w="0" w:type="dxa"/>
                    <w:left w:w="105" w:type="dxa"/>
                    <w:bottom w:w="0" w:type="dxa"/>
                    <w:right w:w="105" w:type="dxa"/>
                  </w:tcMar>
                  <w:vAlign w:val="top"/>
                </w:tcPr>
                <w:p w14:paraId="3376C485">
                  <w:pPr>
                    <w:pStyle w:val="5"/>
                    <w:jc w:val="left"/>
                  </w:pPr>
                  <w:r>
                    <w:rPr>
                      <w:rFonts w:ascii="仿宋_GB2312" w:hAnsi="仿宋_GB2312" w:eastAsia="仿宋_GB2312" w:cs="仿宋_GB2312"/>
                      <w:color w:val="000000"/>
                      <w:sz w:val="22"/>
                    </w:rPr>
                    <w:t>外运垃圾转运车（4轴）</w:t>
                  </w:r>
                </w:p>
              </w:tc>
              <w:tc>
                <w:tcPr>
                  <w:tcW w:w="798" w:type="dxa"/>
                  <w:tcBorders>
                    <w:top w:val="nil"/>
                    <w:left w:val="nil"/>
                    <w:bottom w:val="single" w:color="000000" w:sz="4" w:space="0"/>
                    <w:right w:val="single" w:color="000000" w:sz="4" w:space="0"/>
                  </w:tcBorders>
                  <w:tcMar>
                    <w:top w:w="0" w:type="dxa"/>
                    <w:left w:w="105" w:type="dxa"/>
                    <w:bottom w:w="0" w:type="dxa"/>
                    <w:right w:w="105" w:type="dxa"/>
                  </w:tcMar>
                  <w:vAlign w:val="top"/>
                </w:tcPr>
                <w:p w14:paraId="7116F9F5">
                  <w:pPr>
                    <w:pStyle w:val="5"/>
                    <w:ind w:firstLine="426"/>
                    <w:jc w:val="left"/>
                  </w:pPr>
                  <w:r>
                    <w:rPr>
                      <w:rFonts w:ascii="仿宋_GB2312" w:hAnsi="仿宋_GB2312" w:eastAsia="仿宋_GB2312" w:cs="仿宋_GB2312"/>
                      <w:color w:val="000000"/>
                      <w:sz w:val="22"/>
                    </w:rPr>
                    <w:t>4</w:t>
                  </w:r>
                </w:p>
              </w:tc>
              <w:tc>
                <w:tcPr>
                  <w:tcW w:w="1385" w:type="dxa"/>
                  <w:tcBorders>
                    <w:top w:val="nil"/>
                    <w:left w:val="nil"/>
                    <w:bottom w:val="single" w:color="000000" w:sz="4" w:space="0"/>
                    <w:right w:val="single" w:color="000000" w:sz="4" w:space="0"/>
                  </w:tcBorders>
                  <w:tcMar>
                    <w:top w:w="0" w:type="dxa"/>
                    <w:left w:w="105" w:type="dxa"/>
                    <w:bottom w:w="0" w:type="dxa"/>
                    <w:right w:w="105" w:type="dxa"/>
                  </w:tcMar>
                  <w:vAlign w:val="top"/>
                </w:tcPr>
                <w:p w14:paraId="3215BB34">
                  <w:pPr>
                    <w:pStyle w:val="5"/>
                    <w:ind w:firstLine="426"/>
                    <w:jc w:val="left"/>
                  </w:pPr>
                  <w:r>
                    <w:rPr>
                      <w:rFonts w:ascii="仿宋_GB2312" w:hAnsi="仿宋_GB2312" w:eastAsia="仿宋_GB2312" w:cs="仿宋_GB2312"/>
                      <w:color w:val="000000"/>
                      <w:sz w:val="22"/>
                    </w:rPr>
                    <w:t>驾驶员需持B照及以上，至少配备5人。</w:t>
                  </w:r>
                </w:p>
              </w:tc>
              <w:tc>
                <w:tcPr>
                  <w:tcW w:w="2016" w:type="dxa"/>
                  <w:tcBorders>
                    <w:top w:val="nil"/>
                    <w:left w:val="nil"/>
                    <w:bottom w:val="single" w:color="000000" w:sz="4" w:space="0"/>
                    <w:right w:val="single" w:color="000000" w:sz="4" w:space="0"/>
                  </w:tcBorders>
                  <w:tcMar>
                    <w:top w:w="0" w:type="dxa"/>
                    <w:left w:w="105" w:type="dxa"/>
                    <w:bottom w:w="0" w:type="dxa"/>
                    <w:right w:w="105" w:type="dxa"/>
                  </w:tcMar>
                  <w:vAlign w:val="top"/>
                </w:tcPr>
                <w:p w14:paraId="7B4484B5">
                  <w:pPr>
                    <w:pStyle w:val="5"/>
                    <w:jc w:val="left"/>
                  </w:pPr>
                  <w:r>
                    <w:rPr>
                      <w:rFonts w:ascii="仿宋_GB2312" w:hAnsi="仿宋_GB2312" w:eastAsia="仿宋_GB2312" w:cs="仿宋_GB2312"/>
                      <w:color w:val="000000"/>
                      <w:sz w:val="22"/>
                    </w:rPr>
                    <w:t>车辆由采购人提供，车辆燃修费、车辆保险及人员工资（含保险）等费用由中标人承担</w:t>
                  </w:r>
                </w:p>
              </w:tc>
            </w:tr>
          </w:tbl>
          <w:p w14:paraId="34ACC1F6">
            <w:pPr>
              <w:pStyle w:val="5"/>
              <w:numPr>
                <w:ilvl w:val="0"/>
                <w:numId w:val="1"/>
              </w:numPr>
              <w:jc w:val="left"/>
            </w:pPr>
            <w:r>
              <w:rPr>
                <w:rFonts w:ascii="仿宋_GB2312" w:hAnsi="仿宋_GB2312" w:eastAsia="仿宋_GB2312" w:cs="仿宋_GB2312"/>
                <w:color w:val="000000"/>
                <w:sz w:val="22"/>
              </w:rPr>
              <w:t>其他人员要求</w:t>
            </w:r>
          </w:p>
          <w:tbl>
            <w:tblPr>
              <w:tblStyle w:val="2"/>
              <w:tblW w:w="0" w:type="auto"/>
              <w:tblInd w:w="120"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856"/>
              <w:gridCol w:w="1489"/>
              <w:gridCol w:w="1313"/>
              <w:gridCol w:w="1815"/>
            </w:tblGrid>
            <w:tr w14:paraId="0E7F031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710"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1C9ABD2B">
                  <w:pPr>
                    <w:pStyle w:val="5"/>
                    <w:ind w:firstLine="426"/>
                    <w:jc w:val="both"/>
                  </w:pPr>
                  <w:r>
                    <w:rPr>
                      <w:rFonts w:ascii="仿宋_GB2312" w:hAnsi="仿宋_GB2312" w:eastAsia="仿宋_GB2312" w:cs="仿宋_GB2312"/>
                      <w:color w:val="000000"/>
                      <w:sz w:val="22"/>
                    </w:rPr>
                    <w:t>序号</w:t>
                  </w:r>
                </w:p>
              </w:tc>
              <w:tc>
                <w:tcPr>
                  <w:tcW w:w="1566"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0A0196E7">
                  <w:pPr>
                    <w:pStyle w:val="5"/>
                    <w:ind w:firstLine="426"/>
                    <w:jc w:val="both"/>
                  </w:pPr>
                  <w:r>
                    <w:rPr>
                      <w:rFonts w:ascii="仿宋_GB2312" w:hAnsi="仿宋_GB2312" w:eastAsia="仿宋_GB2312" w:cs="仿宋_GB2312"/>
                      <w:color w:val="000000"/>
                      <w:sz w:val="22"/>
                    </w:rPr>
                    <w:t>人员类型</w:t>
                  </w:r>
                </w:p>
              </w:tc>
              <w:tc>
                <w:tcPr>
                  <w:tcW w:w="1368"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2B8702E0">
                  <w:pPr>
                    <w:pStyle w:val="5"/>
                    <w:ind w:firstLine="426"/>
                    <w:jc w:val="both"/>
                  </w:pPr>
                  <w:r>
                    <w:rPr>
                      <w:rFonts w:ascii="仿宋_GB2312" w:hAnsi="仿宋_GB2312" w:eastAsia="仿宋_GB2312" w:cs="仿宋_GB2312"/>
                      <w:color w:val="000000"/>
                      <w:sz w:val="22"/>
                    </w:rPr>
                    <w:t>人员数量</w:t>
                  </w:r>
                </w:p>
              </w:tc>
              <w:tc>
                <w:tcPr>
                  <w:tcW w:w="1932" w:type="dxa"/>
                  <w:tcBorders>
                    <w:top w:val="single" w:color="000000" w:sz="4" w:space="0"/>
                    <w:left w:val="single" w:color="000000" w:sz="4" w:space="0"/>
                    <w:bottom w:val="single" w:color="000000" w:sz="4" w:space="0"/>
                    <w:right w:val="single" w:color="000000" w:sz="4" w:space="0"/>
                  </w:tcBorders>
                  <w:tcMar>
                    <w:top w:w="0" w:type="dxa"/>
                    <w:left w:w="105" w:type="dxa"/>
                    <w:bottom w:w="0" w:type="dxa"/>
                    <w:right w:w="105" w:type="dxa"/>
                  </w:tcMar>
                  <w:vAlign w:val="top"/>
                </w:tcPr>
                <w:p w14:paraId="07E31295">
                  <w:pPr>
                    <w:pStyle w:val="5"/>
                    <w:ind w:firstLine="426"/>
                    <w:jc w:val="both"/>
                  </w:pPr>
                  <w:r>
                    <w:rPr>
                      <w:rFonts w:ascii="仿宋_GB2312" w:hAnsi="仿宋_GB2312" w:eastAsia="仿宋_GB2312" w:cs="仿宋_GB2312"/>
                      <w:color w:val="000000"/>
                      <w:sz w:val="22"/>
                    </w:rPr>
                    <w:t>备注</w:t>
                  </w:r>
                </w:p>
              </w:tc>
            </w:tr>
            <w:tr w14:paraId="4D50AC48">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71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B2548A8">
                  <w:pPr>
                    <w:pStyle w:val="5"/>
                    <w:ind w:firstLine="426"/>
                    <w:jc w:val="both"/>
                  </w:pPr>
                  <w:r>
                    <w:rPr>
                      <w:rFonts w:ascii="仿宋_GB2312" w:hAnsi="仿宋_GB2312" w:eastAsia="仿宋_GB2312" w:cs="仿宋_GB2312"/>
                      <w:color w:val="000000"/>
                      <w:sz w:val="22"/>
                    </w:rPr>
                    <w:t>1</w:t>
                  </w:r>
                </w:p>
              </w:tc>
              <w:tc>
                <w:tcPr>
                  <w:tcW w:w="156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BBB549C">
                  <w:pPr>
                    <w:pStyle w:val="5"/>
                    <w:jc w:val="both"/>
                  </w:pPr>
                  <w:r>
                    <w:rPr>
                      <w:rFonts w:ascii="仿宋_GB2312" w:hAnsi="仿宋_GB2312" w:eastAsia="仿宋_GB2312" w:cs="仿宋_GB2312"/>
                      <w:color w:val="000000"/>
                      <w:sz w:val="22"/>
                    </w:rPr>
                    <w:t>红旗中转站垃圾压缩操作人员</w:t>
                  </w:r>
                </w:p>
              </w:tc>
              <w:tc>
                <w:tcPr>
                  <w:tcW w:w="1368"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8F1B621">
                  <w:pPr>
                    <w:pStyle w:val="5"/>
                    <w:ind w:firstLine="426"/>
                    <w:jc w:val="center"/>
                  </w:pPr>
                  <w:r>
                    <w:rPr>
                      <w:rFonts w:ascii="仿宋_GB2312" w:hAnsi="仿宋_GB2312" w:eastAsia="仿宋_GB2312" w:cs="仿宋_GB2312"/>
                      <w:color w:val="000000"/>
                      <w:sz w:val="22"/>
                    </w:rPr>
                    <w:t>4人</w:t>
                  </w:r>
                </w:p>
              </w:tc>
              <w:tc>
                <w:tcPr>
                  <w:tcW w:w="193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74E34C59">
                  <w:pPr>
                    <w:pStyle w:val="5"/>
                    <w:jc w:val="both"/>
                  </w:pPr>
                  <w:r>
                    <w:rPr>
                      <w:rFonts w:ascii="仿宋_GB2312" w:hAnsi="仿宋_GB2312" w:eastAsia="仿宋_GB2312" w:cs="仿宋_GB2312"/>
                      <w:color w:val="000000"/>
                      <w:sz w:val="22"/>
                    </w:rPr>
                    <w:t>人员工资及社保</w:t>
                  </w:r>
                </w:p>
                <w:p w14:paraId="21CC9F24">
                  <w:pPr>
                    <w:pStyle w:val="5"/>
                    <w:jc w:val="both"/>
                  </w:pPr>
                  <w:r>
                    <w:rPr>
                      <w:rFonts w:ascii="仿宋_GB2312" w:hAnsi="仿宋_GB2312" w:eastAsia="仿宋_GB2312" w:cs="仿宋_GB2312"/>
                      <w:color w:val="000000"/>
                      <w:sz w:val="22"/>
                    </w:rPr>
                    <w:t>由中标人承担</w:t>
                  </w:r>
                </w:p>
              </w:tc>
            </w:tr>
            <w:tr w14:paraId="00FC01BE">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71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E686CFC">
                  <w:pPr>
                    <w:pStyle w:val="5"/>
                    <w:ind w:firstLine="426"/>
                    <w:jc w:val="both"/>
                  </w:pPr>
                  <w:r>
                    <w:rPr>
                      <w:rFonts w:ascii="仿宋_GB2312" w:hAnsi="仿宋_GB2312" w:eastAsia="仿宋_GB2312" w:cs="仿宋_GB2312"/>
                      <w:color w:val="000000"/>
                      <w:sz w:val="22"/>
                    </w:rPr>
                    <w:t>2</w:t>
                  </w:r>
                </w:p>
              </w:tc>
              <w:tc>
                <w:tcPr>
                  <w:tcW w:w="156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183A730C">
                  <w:pPr>
                    <w:pStyle w:val="5"/>
                    <w:jc w:val="both"/>
                  </w:pPr>
                  <w:r>
                    <w:rPr>
                      <w:rFonts w:ascii="仿宋_GB2312" w:hAnsi="仿宋_GB2312" w:eastAsia="仿宋_GB2312" w:cs="仿宋_GB2312"/>
                      <w:color w:val="000000"/>
                      <w:sz w:val="22"/>
                    </w:rPr>
                    <w:t>红旗中转站门卫</w:t>
                  </w:r>
                </w:p>
              </w:tc>
              <w:tc>
                <w:tcPr>
                  <w:tcW w:w="1368"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52BEF4E">
                  <w:pPr>
                    <w:pStyle w:val="5"/>
                    <w:ind w:firstLine="426"/>
                    <w:jc w:val="center"/>
                  </w:pPr>
                  <w:r>
                    <w:rPr>
                      <w:rFonts w:ascii="仿宋_GB2312" w:hAnsi="仿宋_GB2312" w:eastAsia="仿宋_GB2312" w:cs="仿宋_GB2312"/>
                      <w:color w:val="000000"/>
                      <w:sz w:val="22"/>
                    </w:rPr>
                    <w:t>1人</w:t>
                  </w:r>
                </w:p>
              </w:tc>
              <w:tc>
                <w:tcPr>
                  <w:tcW w:w="193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59E4A1C7">
                  <w:pPr>
                    <w:pStyle w:val="5"/>
                    <w:jc w:val="both"/>
                  </w:pPr>
                  <w:r>
                    <w:rPr>
                      <w:rFonts w:ascii="仿宋_GB2312" w:hAnsi="仿宋_GB2312" w:eastAsia="仿宋_GB2312" w:cs="仿宋_GB2312"/>
                      <w:color w:val="000000"/>
                      <w:sz w:val="21"/>
                    </w:rPr>
                    <w:t>人员工资及社保</w:t>
                  </w:r>
                </w:p>
                <w:p w14:paraId="5C162024">
                  <w:pPr>
                    <w:pStyle w:val="5"/>
                    <w:jc w:val="both"/>
                  </w:pPr>
                  <w:r>
                    <w:rPr>
                      <w:rFonts w:ascii="仿宋_GB2312" w:hAnsi="仿宋_GB2312" w:eastAsia="仿宋_GB2312" w:cs="仿宋_GB2312"/>
                      <w:color w:val="000000"/>
                      <w:sz w:val="21"/>
                    </w:rPr>
                    <w:t>由中标人承担</w:t>
                  </w:r>
                </w:p>
              </w:tc>
            </w:tr>
            <w:tr w14:paraId="5F7A1DB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710"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668F17B7">
                  <w:pPr>
                    <w:pStyle w:val="5"/>
                    <w:ind w:firstLine="426"/>
                    <w:jc w:val="both"/>
                  </w:pPr>
                  <w:r>
                    <w:rPr>
                      <w:rFonts w:ascii="仿宋_GB2312" w:hAnsi="仿宋_GB2312" w:eastAsia="仿宋_GB2312" w:cs="仿宋_GB2312"/>
                      <w:color w:val="000000"/>
                      <w:sz w:val="22"/>
                    </w:rPr>
                    <w:t>3</w:t>
                  </w:r>
                </w:p>
              </w:tc>
              <w:tc>
                <w:tcPr>
                  <w:tcW w:w="1566"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2E9A95B5">
                  <w:pPr>
                    <w:pStyle w:val="5"/>
                    <w:jc w:val="both"/>
                  </w:pPr>
                  <w:r>
                    <w:rPr>
                      <w:rFonts w:ascii="仿宋_GB2312" w:hAnsi="仿宋_GB2312" w:eastAsia="仿宋_GB2312" w:cs="仿宋_GB2312"/>
                      <w:color w:val="000000"/>
                      <w:sz w:val="22"/>
                    </w:rPr>
                    <w:t>红旗中转站驾驶员</w:t>
                  </w:r>
                </w:p>
              </w:tc>
              <w:tc>
                <w:tcPr>
                  <w:tcW w:w="1368"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3AD9582">
                  <w:pPr>
                    <w:pStyle w:val="5"/>
                    <w:ind w:firstLine="426"/>
                    <w:jc w:val="center"/>
                  </w:pPr>
                  <w:r>
                    <w:rPr>
                      <w:rFonts w:ascii="仿宋_GB2312" w:hAnsi="仿宋_GB2312" w:eastAsia="仿宋_GB2312" w:cs="仿宋_GB2312"/>
                      <w:color w:val="000000"/>
                      <w:sz w:val="22"/>
                    </w:rPr>
                    <w:t>3人</w:t>
                  </w:r>
                </w:p>
              </w:tc>
              <w:tc>
                <w:tcPr>
                  <w:tcW w:w="1932" w:type="dxa"/>
                  <w:tcBorders>
                    <w:top w:val="nil"/>
                    <w:left w:val="single" w:color="000000" w:sz="4" w:space="0"/>
                    <w:bottom w:val="single" w:color="000000" w:sz="4" w:space="0"/>
                    <w:right w:val="single" w:color="000000" w:sz="4" w:space="0"/>
                  </w:tcBorders>
                  <w:tcMar>
                    <w:top w:w="0" w:type="dxa"/>
                    <w:left w:w="105" w:type="dxa"/>
                    <w:bottom w:w="0" w:type="dxa"/>
                    <w:right w:w="105" w:type="dxa"/>
                  </w:tcMar>
                  <w:vAlign w:val="top"/>
                </w:tcPr>
                <w:p w14:paraId="3DFDAC9C">
                  <w:pPr>
                    <w:pStyle w:val="5"/>
                    <w:jc w:val="both"/>
                  </w:pPr>
                  <w:r>
                    <w:rPr>
                      <w:rFonts w:ascii="仿宋_GB2312" w:hAnsi="仿宋_GB2312" w:eastAsia="仿宋_GB2312" w:cs="仿宋_GB2312"/>
                      <w:color w:val="000000"/>
                      <w:sz w:val="21"/>
                    </w:rPr>
                    <w:t>人员工资及社保</w:t>
                  </w:r>
                </w:p>
                <w:p w14:paraId="500E9D60">
                  <w:pPr>
                    <w:pStyle w:val="5"/>
                    <w:jc w:val="both"/>
                  </w:pPr>
                  <w:r>
                    <w:rPr>
                      <w:rFonts w:ascii="仿宋_GB2312" w:hAnsi="仿宋_GB2312" w:eastAsia="仿宋_GB2312" w:cs="仿宋_GB2312"/>
                      <w:color w:val="000000"/>
                      <w:sz w:val="21"/>
                    </w:rPr>
                    <w:t>由中标人承担</w:t>
                  </w:r>
                </w:p>
              </w:tc>
            </w:tr>
          </w:tbl>
          <w:p w14:paraId="56207577">
            <w:pPr>
              <w:pStyle w:val="5"/>
              <w:ind w:firstLine="426"/>
              <w:jc w:val="left"/>
            </w:pPr>
            <w:r>
              <w:rPr>
                <w:rFonts w:ascii="仿宋_GB2312" w:hAnsi="仿宋_GB2312" w:eastAsia="仿宋_GB2312" w:cs="仿宋_GB2312"/>
                <w:color w:val="000000"/>
                <w:sz w:val="22"/>
              </w:rPr>
              <w:t>2.2.3垃圾转运车辆管理</w:t>
            </w:r>
          </w:p>
          <w:p w14:paraId="6B81A180">
            <w:pPr>
              <w:pStyle w:val="5"/>
              <w:ind w:firstLine="426"/>
              <w:jc w:val="left"/>
            </w:pPr>
            <w:r>
              <w:rPr>
                <w:rFonts w:ascii="仿宋_GB2312" w:hAnsi="仿宋_GB2312" w:eastAsia="仿宋_GB2312" w:cs="仿宋_GB2312"/>
                <w:color w:val="000000"/>
                <w:sz w:val="22"/>
              </w:rPr>
              <w:t>（1）车容整洁，密闭化运输，无超高超载、沿途洒漏或车轮胎带泥污染道路。</w:t>
            </w:r>
          </w:p>
          <w:p w14:paraId="2F33CC48">
            <w:pPr>
              <w:pStyle w:val="5"/>
              <w:ind w:firstLine="426"/>
              <w:jc w:val="left"/>
            </w:pPr>
            <w:r>
              <w:rPr>
                <w:rFonts w:ascii="仿宋_GB2312" w:hAnsi="仿宋_GB2312" w:eastAsia="仿宋_GB2312" w:cs="仿宋_GB2312"/>
                <w:color w:val="000000"/>
                <w:sz w:val="22"/>
              </w:rPr>
              <w:t>（2）转运车辆应按规定线路行驶。</w:t>
            </w:r>
          </w:p>
          <w:p w14:paraId="0F07D9C3">
            <w:pPr>
              <w:pStyle w:val="5"/>
              <w:ind w:firstLine="426"/>
              <w:jc w:val="left"/>
            </w:pPr>
            <w:r>
              <w:rPr>
                <w:rFonts w:ascii="仿宋_GB2312" w:hAnsi="仿宋_GB2312" w:eastAsia="仿宋_GB2312" w:cs="仿宋_GB2312"/>
                <w:color w:val="000000"/>
                <w:sz w:val="22"/>
              </w:rPr>
              <w:t>（3）作业车辆每班作业后应及时进行清洁。</w:t>
            </w:r>
          </w:p>
          <w:p w14:paraId="4F6BC9CF">
            <w:pPr>
              <w:pStyle w:val="5"/>
              <w:ind w:firstLine="426"/>
              <w:jc w:val="left"/>
            </w:pPr>
            <w:r>
              <w:rPr>
                <w:rFonts w:ascii="仿宋_GB2312" w:hAnsi="仿宋_GB2312" w:eastAsia="仿宋_GB2312" w:cs="仿宋_GB2312"/>
                <w:color w:val="000000"/>
                <w:sz w:val="22"/>
              </w:rPr>
              <w:t>（4）车辆维护保养：应制定含维修保养周期、内容和标准的车辆设备维修保养制度，有备件和易损件储备，及时更换残旧设备和部件。</w:t>
            </w:r>
          </w:p>
          <w:p w14:paraId="26BB895A">
            <w:pPr>
              <w:pStyle w:val="5"/>
              <w:ind w:firstLine="426"/>
              <w:jc w:val="left"/>
            </w:pPr>
            <w:r>
              <w:rPr>
                <w:rFonts w:ascii="仿宋_GB2312" w:hAnsi="仿宋_GB2312" w:eastAsia="仿宋_GB2312" w:cs="仿宋_GB2312"/>
                <w:color w:val="000000"/>
                <w:sz w:val="22"/>
              </w:rPr>
              <w:t>2.2.4垃圾清运质量标准</w:t>
            </w:r>
          </w:p>
          <w:p w14:paraId="3B6D6221">
            <w:pPr>
              <w:pStyle w:val="5"/>
              <w:ind w:firstLine="426"/>
              <w:jc w:val="left"/>
            </w:pPr>
            <w:r>
              <w:rPr>
                <w:rFonts w:ascii="仿宋_GB2312" w:hAnsi="仿宋_GB2312" w:eastAsia="仿宋_GB2312" w:cs="仿宋_GB2312"/>
                <w:color w:val="000000"/>
                <w:sz w:val="22"/>
              </w:rPr>
              <w:t>（1）垃圾应日产日清，不得出现爆桶或爆满现象。</w:t>
            </w:r>
          </w:p>
          <w:p w14:paraId="36C1D26C">
            <w:pPr>
              <w:pStyle w:val="5"/>
              <w:ind w:firstLine="426"/>
              <w:jc w:val="left"/>
            </w:pPr>
            <w:r>
              <w:rPr>
                <w:rFonts w:ascii="仿宋_GB2312" w:hAnsi="仿宋_GB2312" w:eastAsia="仿宋_GB2312" w:cs="仿宋_GB2312"/>
                <w:color w:val="000000"/>
                <w:sz w:val="22"/>
              </w:rPr>
              <w:t>（2）车容应整洁，车体外部无污物、灰垢，标志清晰。</w:t>
            </w:r>
          </w:p>
          <w:p w14:paraId="227A3A5A">
            <w:pPr>
              <w:pStyle w:val="5"/>
              <w:ind w:firstLine="426"/>
              <w:jc w:val="left"/>
            </w:pPr>
            <w:r>
              <w:rPr>
                <w:rFonts w:ascii="仿宋_GB2312" w:hAnsi="仿宋_GB2312" w:eastAsia="仿宋_GB2312" w:cs="仿宋_GB2312"/>
                <w:color w:val="000000"/>
                <w:sz w:val="22"/>
              </w:rPr>
              <w:t>（3）运输垃圾应密闭，在运输过程中无垃圾抛撒，拖挂和污水滴漏，符合行业主管部门的要求。</w:t>
            </w:r>
          </w:p>
          <w:p w14:paraId="42341312">
            <w:pPr>
              <w:pStyle w:val="5"/>
              <w:ind w:firstLine="426"/>
              <w:jc w:val="left"/>
            </w:pPr>
            <w:r>
              <w:rPr>
                <w:rFonts w:ascii="仿宋_GB2312" w:hAnsi="仿宋_GB2312" w:eastAsia="仿宋_GB2312" w:cs="仿宋_GB2312"/>
                <w:color w:val="000000"/>
                <w:sz w:val="22"/>
              </w:rPr>
              <w:t>（4）垃圾装运量应以车辆的额定荷载和有效容积为限，不得超限、超载运输。</w:t>
            </w:r>
          </w:p>
          <w:p w14:paraId="6C38E4EA">
            <w:pPr>
              <w:pStyle w:val="5"/>
              <w:ind w:firstLine="426"/>
              <w:jc w:val="left"/>
            </w:pPr>
            <w:r>
              <w:rPr>
                <w:rFonts w:ascii="仿宋_GB2312" w:hAnsi="仿宋_GB2312" w:eastAsia="仿宋_GB2312" w:cs="仿宋_GB2312"/>
                <w:color w:val="000000"/>
                <w:sz w:val="22"/>
              </w:rPr>
              <w:t>（5）装卸垃圾必须严格按照国家和行业标准及乐山市相关规定进行处置、运输；不得乱倒，乱卸，乱抛垃圾。</w:t>
            </w:r>
          </w:p>
          <w:p w14:paraId="4A064365">
            <w:pPr>
              <w:pStyle w:val="5"/>
              <w:ind w:firstLine="426"/>
              <w:jc w:val="left"/>
            </w:pPr>
            <w:r>
              <w:rPr>
                <w:rFonts w:ascii="仿宋_GB2312" w:hAnsi="仿宋_GB2312" w:eastAsia="仿宋_GB2312" w:cs="仿宋_GB2312"/>
                <w:color w:val="000000"/>
                <w:sz w:val="22"/>
              </w:rPr>
              <w:t>（6）垃圾转运人员上岗时必须穿戴环卫工作帽、服，做到着装整洁。所有服务人员应当培训上岗，定期组织安全、环保培训，规范化操作，严防安全、环保、质量事故发生。</w:t>
            </w:r>
          </w:p>
          <w:p w14:paraId="0642E313">
            <w:pPr>
              <w:pStyle w:val="5"/>
              <w:ind w:firstLine="426"/>
              <w:jc w:val="left"/>
            </w:pPr>
            <w:r>
              <w:rPr>
                <w:rFonts w:ascii="仿宋_GB2312" w:hAnsi="仿宋_GB2312" w:eastAsia="仿宋_GB2312" w:cs="仿宋_GB2312"/>
                <w:color w:val="000000"/>
                <w:sz w:val="22"/>
              </w:rPr>
              <w:t>（7）每辆垃圾运输车必须配备专职驾驶员，须持相应驾驶证上岗，驾驶员所驾车辆与驾驶执照规定的准驾车型相符，且统一着装，保持整洁；</w:t>
            </w:r>
          </w:p>
          <w:p w14:paraId="37D25F66">
            <w:pPr>
              <w:pStyle w:val="5"/>
              <w:ind w:firstLine="426"/>
              <w:jc w:val="left"/>
            </w:pPr>
            <w:r>
              <w:rPr>
                <w:rFonts w:ascii="仿宋_GB2312" w:hAnsi="仿宋_GB2312" w:eastAsia="仿宋_GB2312" w:cs="仿宋_GB2312"/>
                <w:color w:val="000000"/>
                <w:sz w:val="22"/>
              </w:rPr>
              <w:t>（8）定期组织从业人员进行安全和业务知识、技能培训，提高安全驾驶水平和文明行车意识；</w:t>
            </w:r>
          </w:p>
          <w:p w14:paraId="3FDE8A49">
            <w:pPr>
              <w:pStyle w:val="5"/>
              <w:ind w:firstLine="426"/>
              <w:jc w:val="left"/>
            </w:pPr>
            <w:r>
              <w:rPr>
                <w:rFonts w:ascii="仿宋_GB2312" w:hAnsi="仿宋_GB2312" w:eastAsia="仿宋_GB2312" w:cs="仿宋_GB2312"/>
                <w:color w:val="000000"/>
                <w:sz w:val="22"/>
              </w:rPr>
              <w:t>（9）驾驶员必须严格遵守交通法规，严禁赌气驾车，疲劳驾车，酒后驾车等违规驾驶行为；</w:t>
            </w:r>
          </w:p>
          <w:p w14:paraId="7A967FF6">
            <w:pPr>
              <w:pStyle w:val="5"/>
              <w:ind w:firstLine="426"/>
              <w:jc w:val="left"/>
            </w:pPr>
            <w:r>
              <w:rPr>
                <w:rFonts w:ascii="仿宋_GB2312" w:hAnsi="仿宋_GB2312" w:eastAsia="仿宋_GB2312" w:cs="仿宋_GB2312"/>
                <w:color w:val="000000"/>
                <w:sz w:val="22"/>
              </w:rPr>
              <w:t>（10） 严禁使用任何非法改装车辆进行运输；</w:t>
            </w:r>
          </w:p>
          <w:p w14:paraId="08F3FC0A">
            <w:pPr>
              <w:pStyle w:val="5"/>
              <w:ind w:firstLine="426"/>
              <w:jc w:val="left"/>
            </w:pPr>
            <w:r>
              <w:rPr>
                <w:rFonts w:ascii="仿宋_GB2312" w:hAnsi="仿宋_GB2312" w:eastAsia="仿宋_GB2312" w:cs="仿宋_GB2312"/>
                <w:color w:val="000000"/>
                <w:sz w:val="22"/>
              </w:rPr>
              <w:t>（11） 运输车辆须做到干净整洁，完好无破损，密闭良好，机动车号牌完整；</w:t>
            </w:r>
          </w:p>
          <w:p w14:paraId="19908695">
            <w:pPr>
              <w:pStyle w:val="5"/>
              <w:ind w:firstLine="426"/>
              <w:jc w:val="left"/>
            </w:pPr>
            <w:r>
              <w:rPr>
                <w:rFonts w:ascii="仿宋_GB2312" w:hAnsi="仿宋_GB2312" w:eastAsia="仿宋_GB2312" w:cs="仿宋_GB2312"/>
                <w:color w:val="000000"/>
                <w:sz w:val="22"/>
              </w:rPr>
              <w:t>（12）车辆运行须严格遵守《道路交通安全法》等法规，车辆证照、保险齐全，各项技术性能须符合国家有关标准；</w:t>
            </w:r>
          </w:p>
          <w:p w14:paraId="3CF46297">
            <w:pPr>
              <w:pStyle w:val="5"/>
              <w:ind w:firstLine="426"/>
              <w:jc w:val="left"/>
            </w:pPr>
            <w:r>
              <w:rPr>
                <w:rFonts w:ascii="仿宋_GB2312" w:hAnsi="仿宋_GB2312" w:eastAsia="仿宋_GB2312" w:cs="仿宋_GB2312"/>
                <w:color w:val="000000"/>
                <w:sz w:val="22"/>
              </w:rPr>
              <w:t>（13）做好垃圾车日常保养，保持垃圾车随时处于良好工作状态，运输作业结束，应当将车辆定期进行消杀、清洗。</w:t>
            </w:r>
          </w:p>
          <w:p w14:paraId="1F2E4FA9">
            <w:pPr>
              <w:pStyle w:val="5"/>
              <w:ind w:firstLine="426"/>
              <w:jc w:val="left"/>
            </w:pPr>
            <w:r>
              <w:rPr>
                <w:rFonts w:ascii="仿宋_GB2312" w:hAnsi="仿宋_GB2312" w:eastAsia="仿宋_GB2312" w:cs="仿宋_GB2312"/>
                <w:color w:val="000000"/>
                <w:sz w:val="22"/>
              </w:rPr>
              <w:t>2.2.5垃圾压缩中转站（各乡镇中转站和县城区红旗中转站）的日常运营管理</w:t>
            </w:r>
          </w:p>
          <w:p w14:paraId="31406F08">
            <w:pPr>
              <w:pStyle w:val="5"/>
              <w:ind w:firstLine="426"/>
              <w:jc w:val="left"/>
            </w:pPr>
            <w:r>
              <w:rPr>
                <w:rFonts w:ascii="仿宋_GB2312" w:hAnsi="仿宋_GB2312" w:eastAsia="仿宋_GB2312" w:cs="仿宋_GB2312"/>
                <w:color w:val="000000"/>
                <w:sz w:val="22"/>
              </w:rPr>
              <w:t>（1）中转站垃圾收集与压缩，中转站内卫生的保持：</w:t>
            </w:r>
          </w:p>
          <w:p w14:paraId="40BB8181">
            <w:pPr>
              <w:pStyle w:val="5"/>
              <w:ind w:firstLine="426"/>
              <w:jc w:val="left"/>
            </w:pPr>
            <w:r>
              <w:rPr>
                <w:rFonts w:ascii="仿宋_GB2312" w:hAnsi="仿宋_GB2312" w:eastAsia="仿宋_GB2312" w:cs="仿宋_GB2312"/>
                <w:color w:val="000000"/>
                <w:sz w:val="22"/>
              </w:rPr>
              <w:t>1）指定专人负责站内压缩机（箱）的垃圾压缩以及转运操作，确保操作规范。</w:t>
            </w:r>
          </w:p>
          <w:p w14:paraId="30A6FEEE">
            <w:pPr>
              <w:pStyle w:val="5"/>
              <w:ind w:firstLine="426"/>
              <w:jc w:val="left"/>
            </w:pPr>
            <w:r>
              <w:rPr>
                <w:rFonts w:ascii="仿宋_GB2312" w:hAnsi="仿宋_GB2312" w:eastAsia="仿宋_GB2312" w:cs="仿宋_GB2312"/>
                <w:color w:val="000000"/>
                <w:sz w:val="22"/>
              </w:rPr>
              <w:t>2）指定专人对站内卫生进行日常清理，保持压缩机（箱）周边以及站内场地干净整洁。</w:t>
            </w:r>
          </w:p>
          <w:p w14:paraId="41FB1D3F">
            <w:pPr>
              <w:pStyle w:val="5"/>
              <w:ind w:firstLine="426"/>
              <w:jc w:val="left"/>
            </w:pPr>
            <w:r>
              <w:rPr>
                <w:rFonts w:ascii="仿宋_GB2312" w:hAnsi="仿宋_GB2312" w:eastAsia="仿宋_GB2312" w:cs="仿宋_GB2312"/>
                <w:color w:val="000000"/>
                <w:sz w:val="22"/>
              </w:rPr>
              <w:t>（2）中转站内设备日常运行的能耗以及维护耗材：</w:t>
            </w:r>
          </w:p>
          <w:p w14:paraId="42F2EF3E">
            <w:pPr>
              <w:pStyle w:val="5"/>
              <w:ind w:firstLine="426"/>
              <w:jc w:val="left"/>
            </w:pPr>
            <w:r>
              <w:rPr>
                <w:rFonts w:ascii="仿宋_GB2312" w:hAnsi="仿宋_GB2312" w:eastAsia="仿宋_GB2312" w:cs="仿宋_GB2312"/>
                <w:color w:val="000000"/>
                <w:sz w:val="22"/>
              </w:rPr>
              <w:t>1）中转站内设备设施的日常运行能耗（含水电等）由供应商自行负责，确保垃圾压缩中转站日常顺利运行。</w:t>
            </w:r>
          </w:p>
          <w:p w14:paraId="600DE667">
            <w:pPr>
              <w:pStyle w:val="5"/>
              <w:ind w:firstLine="426"/>
              <w:jc w:val="left"/>
            </w:pPr>
            <w:r>
              <w:rPr>
                <w:rFonts w:ascii="仿宋_GB2312" w:hAnsi="仿宋_GB2312" w:eastAsia="仿宋_GB2312" w:cs="仿宋_GB2312"/>
                <w:color w:val="000000"/>
                <w:sz w:val="22"/>
              </w:rPr>
              <w:t>2）定期对站内设备设施进行维护保养，日常维护保养人工及耗材（液压油等）由供应商自行负责。</w:t>
            </w:r>
          </w:p>
          <w:p w14:paraId="2815FFE0">
            <w:pPr>
              <w:pStyle w:val="5"/>
              <w:ind w:firstLine="426"/>
              <w:jc w:val="left"/>
            </w:pPr>
            <w:r>
              <w:rPr>
                <w:rFonts w:ascii="仿宋_GB2312" w:hAnsi="仿宋_GB2312" w:eastAsia="仿宋_GB2312" w:cs="仿宋_GB2312"/>
                <w:color w:val="000000"/>
                <w:sz w:val="22"/>
              </w:rPr>
              <w:t>（3）中转站设备维修管理：</w:t>
            </w:r>
          </w:p>
          <w:p w14:paraId="76C40B14">
            <w:pPr>
              <w:pStyle w:val="5"/>
              <w:ind w:firstLine="426"/>
              <w:jc w:val="left"/>
            </w:pPr>
            <w:r>
              <w:rPr>
                <w:rFonts w:ascii="仿宋_GB2312" w:hAnsi="仿宋_GB2312" w:eastAsia="仿宋_GB2312" w:cs="仿宋_GB2312"/>
                <w:color w:val="000000"/>
                <w:sz w:val="22"/>
              </w:rPr>
              <w:t>1）中转站内设备的小型部件（液压管路泄漏、行程开关、污水泵等）故障，由供应商自行排除，涉及配件与人工由供应商自行解决。</w:t>
            </w:r>
          </w:p>
          <w:p w14:paraId="6DCF4C0D">
            <w:pPr>
              <w:pStyle w:val="5"/>
              <w:ind w:firstLine="426"/>
              <w:jc w:val="left"/>
            </w:pPr>
            <w:r>
              <w:rPr>
                <w:rFonts w:ascii="仿宋_GB2312" w:hAnsi="仿宋_GB2312" w:eastAsia="仿宋_GB2312" w:cs="仿宋_GB2312"/>
                <w:color w:val="000000"/>
                <w:sz w:val="22"/>
              </w:rPr>
              <w:t>2）若因操作失误导致的压缩机（箱）损害，盖由供应商自行组织维修恢复；</w:t>
            </w:r>
          </w:p>
          <w:p w14:paraId="3E4F7605">
            <w:pPr>
              <w:pStyle w:val="5"/>
              <w:ind w:firstLine="426"/>
              <w:jc w:val="left"/>
            </w:pPr>
            <w:r>
              <w:rPr>
                <w:rFonts w:ascii="仿宋_GB2312" w:hAnsi="仿宋_GB2312" w:eastAsia="仿宋_GB2312" w:cs="仿宋_GB2312"/>
                <w:color w:val="000000"/>
                <w:sz w:val="22"/>
              </w:rPr>
              <w:t>3）中转站内机械设备维修由供应商负责。</w:t>
            </w:r>
          </w:p>
          <w:p w14:paraId="788C977B">
            <w:pPr>
              <w:pStyle w:val="5"/>
              <w:ind w:firstLine="426"/>
              <w:jc w:val="left"/>
            </w:pPr>
            <w:r>
              <w:rPr>
                <w:rFonts w:ascii="仿宋_GB2312" w:hAnsi="仿宋_GB2312" w:eastAsia="仿宋_GB2312" w:cs="仿宋_GB2312"/>
                <w:color w:val="000000"/>
                <w:sz w:val="22"/>
              </w:rPr>
              <w:t>2.2.6大件垃圾收集清运</w:t>
            </w:r>
          </w:p>
          <w:p w14:paraId="36FBBF64">
            <w:pPr>
              <w:pStyle w:val="5"/>
              <w:ind w:firstLine="426"/>
              <w:jc w:val="left"/>
            </w:pPr>
            <w:r>
              <w:rPr>
                <w:rFonts w:ascii="仿宋_GB2312" w:hAnsi="仿宋_GB2312" w:eastAsia="仿宋_GB2312" w:cs="仿宋_GB2312"/>
                <w:color w:val="000000"/>
                <w:sz w:val="22"/>
              </w:rPr>
              <w:t>（1）乡镇内废旧家具等大件垃圾，由垃圾清运人员及时收集处理。</w:t>
            </w:r>
          </w:p>
          <w:p w14:paraId="548202FC">
            <w:pPr>
              <w:pStyle w:val="5"/>
              <w:ind w:firstLine="426"/>
              <w:jc w:val="left"/>
            </w:pPr>
            <w:r>
              <w:rPr>
                <w:rFonts w:ascii="仿宋_GB2312" w:hAnsi="仿宋_GB2312" w:eastAsia="仿宋_GB2312" w:cs="仿宋_GB2312"/>
                <w:color w:val="000000"/>
                <w:sz w:val="22"/>
              </w:rPr>
              <w:t>2.3 其他要求</w:t>
            </w:r>
          </w:p>
          <w:p w14:paraId="1364D613">
            <w:pPr>
              <w:pStyle w:val="5"/>
              <w:ind w:firstLine="426"/>
              <w:jc w:val="left"/>
            </w:pPr>
            <w:r>
              <w:rPr>
                <w:rFonts w:ascii="仿宋_GB2312" w:hAnsi="仿宋_GB2312" w:eastAsia="仿宋_GB2312" w:cs="仿宋_GB2312"/>
                <w:color w:val="000000"/>
                <w:sz w:val="22"/>
              </w:rPr>
              <w:t>（1）协议期间若有新增或减少清运点位，供应商都必须完成清运工作，且费用包含在中标价格以内，不作调整。</w:t>
            </w:r>
          </w:p>
          <w:p w14:paraId="682EB4C7">
            <w:pPr>
              <w:pStyle w:val="5"/>
              <w:ind w:firstLine="426"/>
              <w:jc w:val="left"/>
            </w:pPr>
            <w:r>
              <w:rPr>
                <w:rFonts w:ascii="仿宋_GB2312" w:hAnsi="仿宋_GB2312" w:eastAsia="仿宋_GB2312" w:cs="仿宋_GB2312"/>
                <w:color w:val="000000"/>
                <w:sz w:val="22"/>
              </w:rPr>
              <w:t>（2）特殊情况（迎检、参观、考察）按供应商具体要求完成临时性工作任务。</w:t>
            </w:r>
          </w:p>
          <w:p w14:paraId="7DCC7652">
            <w:pPr>
              <w:pStyle w:val="5"/>
              <w:ind w:firstLine="426"/>
              <w:jc w:val="left"/>
            </w:pPr>
            <w:r>
              <w:rPr>
                <w:rFonts w:ascii="仿宋_GB2312" w:hAnsi="仿宋_GB2312" w:eastAsia="仿宋_GB2312" w:cs="仿宋_GB2312"/>
                <w:color w:val="000000"/>
                <w:sz w:val="22"/>
              </w:rPr>
              <w:t>（3）垃圾车需按相关部门的要求将清运垃圾送往指定垃圾无害化处置，不得乱倾倒。</w:t>
            </w:r>
          </w:p>
          <w:p w14:paraId="794654E2">
            <w:pPr>
              <w:pStyle w:val="5"/>
              <w:ind w:firstLine="426"/>
              <w:jc w:val="left"/>
            </w:pPr>
            <w:r>
              <w:rPr>
                <w:rFonts w:ascii="仿宋_GB2312" w:hAnsi="仿宋_GB2312" w:eastAsia="仿宋_GB2312" w:cs="仿宋_GB2312"/>
                <w:color w:val="000000"/>
                <w:sz w:val="22"/>
              </w:rPr>
              <w:t>2.4考核管理办法</w:t>
            </w:r>
          </w:p>
          <w:p w14:paraId="3963BC82">
            <w:pPr>
              <w:pStyle w:val="5"/>
              <w:ind w:firstLine="426"/>
              <w:jc w:val="left"/>
            </w:pPr>
            <w:r>
              <w:rPr>
                <w:rFonts w:ascii="仿宋_GB2312" w:hAnsi="仿宋_GB2312" w:eastAsia="仿宋_GB2312" w:cs="仿宋_GB2312"/>
                <w:color w:val="000000"/>
                <w:sz w:val="22"/>
              </w:rPr>
              <w:t>2.4.1作业公司考核评分细则</w:t>
            </w:r>
          </w:p>
          <w:p w14:paraId="058A0A92">
            <w:pPr>
              <w:pStyle w:val="5"/>
              <w:ind w:firstLine="426"/>
              <w:jc w:val="left"/>
            </w:pPr>
            <w:r>
              <w:rPr>
                <w:rFonts w:ascii="仿宋_GB2312" w:hAnsi="仿宋_GB2312" w:eastAsia="仿宋_GB2312" w:cs="仿宋_GB2312"/>
                <w:color w:val="000000"/>
                <w:sz w:val="22"/>
              </w:rPr>
              <w:t>（1）公司管理评分细则</w:t>
            </w:r>
          </w:p>
          <w:p w14:paraId="5D9B00D8">
            <w:pPr>
              <w:pStyle w:val="5"/>
              <w:ind w:firstLine="426"/>
              <w:jc w:val="left"/>
            </w:pPr>
            <w:r>
              <w:rPr>
                <w:rFonts w:ascii="仿宋_GB2312" w:hAnsi="仿宋_GB2312" w:eastAsia="仿宋_GB2312" w:cs="仿宋_GB2312"/>
                <w:color w:val="000000"/>
                <w:sz w:val="22"/>
              </w:rPr>
              <w:t>1）设立项目部,按要求配备管理人员及作业人员,缺一人扣3分;作业示意图上墙,未达要求扣5分;各项管理制度健全并上墙,未达要求扣5分。</w:t>
            </w:r>
          </w:p>
          <w:p w14:paraId="22CE4CDC">
            <w:pPr>
              <w:pStyle w:val="5"/>
              <w:ind w:firstLine="426"/>
              <w:jc w:val="left"/>
            </w:pPr>
            <w:r>
              <w:rPr>
                <w:rFonts w:ascii="仿宋_GB2312" w:hAnsi="仿宋_GB2312" w:eastAsia="仿宋_GB2312" w:cs="仿宋_GB2312"/>
                <w:color w:val="000000"/>
                <w:sz w:val="22"/>
              </w:rPr>
              <w:t>2）管理人员和值班人员到位,通讯畅通,巡查记录和值班记录完整,未达要求扣2分。</w:t>
            </w:r>
          </w:p>
          <w:p w14:paraId="2FCB67F0">
            <w:pPr>
              <w:pStyle w:val="5"/>
              <w:ind w:firstLine="426"/>
              <w:jc w:val="left"/>
            </w:pPr>
            <w:r>
              <w:rPr>
                <w:rFonts w:ascii="仿宋_GB2312" w:hAnsi="仿宋_GB2312" w:eastAsia="仿宋_GB2312" w:cs="仿宋_GB2312"/>
                <w:color w:val="000000"/>
                <w:sz w:val="22"/>
              </w:rPr>
              <w:t>3）按要求购买从业人员社会保险,未达要求每人扣1分。如因此造成从业人员投诉、举报和上访的每人每次扣3分。</w:t>
            </w:r>
          </w:p>
          <w:p w14:paraId="0320ADAD">
            <w:pPr>
              <w:pStyle w:val="5"/>
              <w:ind w:firstLine="426"/>
              <w:jc w:val="left"/>
            </w:pPr>
            <w:r>
              <w:rPr>
                <w:rFonts w:ascii="仿宋_GB2312" w:hAnsi="仿宋_GB2312" w:eastAsia="仿宋_GB2312" w:cs="仿宋_GB2312"/>
                <w:color w:val="000000"/>
                <w:sz w:val="22"/>
              </w:rPr>
              <w:t>（2）人员管理评分细则</w:t>
            </w:r>
          </w:p>
          <w:p w14:paraId="57CB1D4E">
            <w:pPr>
              <w:pStyle w:val="5"/>
              <w:ind w:firstLine="426"/>
              <w:jc w:val="left"/>
            </w:pPr>
            <w:r>
              <w:rPr>
                <w:rFonts w:ascii="仿宋_GB2312" w:hAnsi="仿宋_GB2312" w:eastAsia="仿宋_GB2312" w:cs="仿宋_GB2312"/>
                <w:color w:val="000000"/>
                <w:sz w:val="22"/>
              </w:rPr>
              <w:t>1）车辆驾驶员、装车工、巡查人员按要求着装,未达要求每人每次扣 2 分。</w:t>
            </w:r>
          </w:p>
          <w:p w14:paraId="2B349CA2">
            <w:pPr>
              <w:pStyle w:val="5"/>
              <w:ind w:firstLine="426"/>
              <w:jc w:val="left"/>
            </w:pPr>
            <w:r>
              <w:rPr>
                <w:rFonts w:ascii="仿宋_GB2312" w:hAnsi="仿宋_GB2312" w:eastAsia="仿宋_GB2312" w:cs="仿宋_GB2312"/>
                <w:color w:val="000000"/>
                <w:sz w:val="22"/>
              </w:rPr>
              <w:t>2）车辆驾驶员、装车工不得酒后作业, 违反者每人每次扣 10 分,并给予公司警告处理。</w:t>
            </w:r>
          </w:p>
          <w:p w14:paraId="07DC7B8D">
            <w:pPr>
              <w:pStyle w:val="5"/>
              <w:ind w:firstLine="426"/>
              <w:jc w:val="left"/>
            </w:pPr>
            <w:r>
              <w:rPr>
                <w:rFonts w:ascii="仿宋_GB2312" w:hAnsi="仿宋_GB2312" w:eastAsia="仿宋_GB2312" w:cs="仿宋_GB2312"/>
                <w:color w:val="000000"/>
                <w:sz w:val="22"/>
              </w:rPr>
              <w:t>3）车辆驾驶员在车辆驾驶中严格遵守《中华人民共和国交通道路安全法》, 如出现违反交通道路安全法的行为,视其情节,每人每次扣 5 分至 10 分。</w:t>
            </w:r>
          </w:p>
          <w:p w14:paraId="1BB306EA">
            <w:pPr>
              <w:pStyle w:val="5"/>
              <w:ind w:firstLine="426"/>
              <w:jc w:val="left"/>
            </w:pPr>
            <w:r>
              <w:rPr>
                <w:rFonts w:ascii="仿宋_GB2312" w:hAnsi="仿宋_GB2312" w:eastAsia="仿宋_GB2312" w:cs="仿宋_GB2312"/>
                <w:color w:val="000000"/>
                <w:sz w:val="22"/>
              </w:rPr>
              <w:t>4）车辆驾驶员要定期清洗、检修、保养垃圾车,保持车容车貌整洁有序,车况良好,未达要求每车每次扣 2 分。</w:t>
            </w:r>
          </w:p>
          <w:p w14:paraId="498FB340">
            <w:pPr>
              <w:pStyle w:val="5"/>
              <w:ind w:firstLine="426"/>
              <w:jc w:val="left"/>
            </w:pPr>
            <w:r>
              <w:rPr>
                <w:rFonts w:ascii="仿宋_GB2312" w:hAnsi="仿宋_GB2312" w:eastAsia="仿宋_GB2312" w:cs="仿宋_GB2312"/>
                <w:color w:val="000000"/>
                <w:sz w:val="22"/>
              </w:rPr>
              <w:t>（3）生活垃圾清运评分细则</w:t>
            </w:r>
          </w:p>
          <w:p w14:paraId="00EB0DB6">
            <w:pPr>
              <w:pStyle w:val="5"/>
              <w:ind w:firstLine="426"/>
              <w:jc w:val="left"/>
            </w:pPr>
            <w:r>
              <w:rPr>
                <w:rFonts w:ascii="仿宋_GB2312" w:hAnsi="仿宋_GB2312" w:eastAsia="仿宋_GB2312" w:cs="仿宋_GB2312"/>
                <w:color w:val="000000"/>
                <w:sz w:val="22"/>
              </w:rPr>
              <w:t>1）垃圾清运车作业运输过程中存在垃圾外挂、生活垃圾清运车辆脏污或滴漏的,每台车每次扣 5 分。</w:t>
            </w:r>
          </w:p>
          <w:p w14:paraId="331FAC38">
            <w:pPr>
              <w:pStyle w:val="5"/>
              <w:ind w:firstLine="426"/>
              <w:jc w:val="left"/>
            </w:pPr>
            <w:r>
              <w:rPr>
                <w:rFonts w:ascii="仿宋_GB2312" w:hAnsi="仿宋_GB2312" w:eastAsia="仿宋_GB2312" w:cs="仿宋_GB2312"/>
                <w:color w:val="000000"/>
                <w:sz w:val="22"/>
              </w:rPr>
              <w:t>2）群众投诉垃圾清运不及时、存在爆桶现象或垃圾桶点管理不到位,存在脏、乱、臭等现象，经核实属实，每次扣 1 分。</w:t>
            </w:r>
          </w:p>
          <w:p w14:paraId="1C88605F">
            <w:pPr>
              <w:pStyle w:val="5"/>
              <w:ind w:firstLine="426"/>
              <w:jc w:val="left"/>
            </w:pPr>
            <w:r>
              <w:rPr>
                <w:rFonts w:ascii="仿宋_GB2312" w:hAnsi="仿宋_GB2312" w:eastAsia="仿宋_GB2312" w:cs="仿宋_GB2312"/>
                <w:color w:val="000000"/>
                <w:sz w:val="22"/>
              </w:rPr>
              <w:t>3）公司清运人员故意损坏收集容器,一经核实,损坏的收集容器照价赔偿，每个扣 5 分。</w:t>
            </w:r>
          </w:p>
          <w:p w14:paraId="1751DDF5">
            <w:pPr>
              <w:pStyle w:val="5"/>
              <w:ind w:firstLine="426"/>
              <w:jc w:val="left"/>
            </w:pPr>
            <w:r>
              <w:rPr>
                <w:rFonts w:ascii="仿宋_GB2312" w:hAnsi="仿宋_GB2312" w:eastAsia="仿宋_GB2312" w:cs="仿宋_GB2312"/>
                <w:color w:val="000000"/>
                <w:sz w:val="22"/>
              </w:rPr>
              <w:t>4）不按规定使用收集和清运车辆，每辆每天扣 5 分.</w:t>
            </w:r>
          </w:p>
          <w:p w14:paraId="7278E8CF">
            <w:pPr>
              <w:pStyle w:val="5"/>
              <w:ind w:firstLine="426"/>
              <w:jc w:val="left"/>
            </w:pPr>
            <w:r>
              <w:rPr>
                <w:rFonts w:ascii="仿宋_GB2312" w:hAnsi="仿宋_GB2312" w:eastAsia="仿宋_GB2312" w:cs="仿宋_GB2312"/>
                <w:color w:val="000000"/>
                <w:sz w:val="22"/>
              </w:rPr>
              <w:t>5）不按规定收运，存在丢点、丢桶、丢袋的现象，每一处扣 2 分。</w:t>
            </w:r>
          </w:p>
          <w:p w14:paraId="45B149E8">
            <w:pPr>
              <w:pStyle w:val="5"/>
              <w:ind w:firstLine="426"/>
              <w:jc w:val="left"/>
            </w:pPr>
            <w:r>
              <w:rPr>
                <w:rFonts w:ascii="仿宋_GB2312" w:hAnsi="仿宋_GB2312" w:eastAsia="仿宋_GB2312" w:cs="仿宋_GB2312"/>
                <w:color w:val="000000"/>
                <w:sz w:val="22"/>
              </w:rPr>
              <w:t>6）每次转运作业完成后，没对桶点及地面进行清洗,每日未按要求进行消杀、除臭的,发现一处一次扣 5 分。</w:t>
            </w:r>
          </w:p>
          <w:p w14:paraId="15C96A54">
            <w:pPr>
              <w:pStyle w:val="5"/>
              <w:ind w:firstLine="426"/>
              <w:jc w:val="left"/>
            </w:pPr>
            <w:r>
              <w:rPr>
                <w:rFonts w:ascii="仿宋_GB2312" w:hAnsi="仿宋_GB2312" w:eastAsia="仿宋_GB2312" w:cs="仿宋_GB2312"/>
                <w:color w:val="000000"/>
                <w:sz w:val="22"/>
              </w:rPr>
              <w:t>7）生活垃圾收(转)运桶,撒落垃圾,有积留污水,有明异味,垃圾桶破损,发现一次扣 2 分。</w:t>
            </w:r>
          </w:p>
          <w:p w14:paraId="7520D805">
            <w:pPr>
              <w:pStyle w:val="5"/>
              <w:ind w:firstLine="426"/>
              <w:jc w:val="left"/>
            </w:pPr>
            <w:r>
              <w:rPr>
                <w:rFonts w:ascii="仿宋_GB2312" w:hAnsi="仿宋_GB2312" w:eastAsia="仿宋_GB2312" w:cs="仿宋_GB2312"/>
                <w:color w:val="000000"/>
                <w:sz w:val="22"/>
              </w:rPr>
              <w:t>（4）曝光评分细则</w:t>
            </w:r>
          </w:p>
          <w:p w14:paraId="7497C5E1">
            <w:pPr>
              <w:pStyle w:val="5"/>
              <w:ind w:firstLine="426"/>
              <w:jc w:val="left"/>
            </w:pPr>
            <w:r>
              <w:rPr>
                <w:rFonts w:ascii="仿宋_GB2312" w:hAnsi="仿宋_GB2312" w:eastAsia="仿宋_GB2312" w:cs="仿宋_GB2312"/>
                <w:color w:val="000000"/>
                <w:sz w:val="22"/>
              </w:rPr>
              <w:t>1）垃圾清运情况受到市级领导批评,每次扣 20 分;受到市级媒体曝光或市级部门通报,每次扣 15 分。</w:t>
            </w:r>
          </w:p>
          <w:p w14:paraId="458A9AB2">
            <w:pPr>
              <w:pStyle w:val="5"/>
              <w:ind w:firstLine="426"/>
              <w:jc w:val="left"/>
            </w:pPr>
            <w:r>
              <w:rPr>
                <w:rFonts w:ascii="仿宋_GB2312" w:hAnsi="仿宋_GB2312" w:eastAsia="仿宋_GB2312" w:cs="仿宋_GB2312"/>
                <w:color w:val="000000"/>
                <w:sz w:val="22"/>
              </w:rPr>
              <w:t>2）垃圾清运情况受到县级领导批评,每次扣 15 分;受到县级媒体曝光或县级部门通报,每次扣 10 分。</w:t>
            </w:r>
          </w:p>
          <w:p w14:paraId="3589C6FB">
            <w:pPr>
              <w:pStyle w:val="5"/>
              <w:ind w:firstLine="426"/>
              <w:jc w:val="left"/>
            </w:pPr>
            <w:r>
              <w:rPr>
                <w:rFonts w:ascii="仿宋_GB2312" w:hAnsi="仿宋_GB2312" w:eastAsia="仿宋_GB2312" w:cs="仿宋_GB2312"/>
                <w:color w:val="000000"/>
                <w:sz w:val="22"/>
              </w:rPr>
              <w:t>3）垃圾清运情况受到县综合执法局领导批评,每次扣 10 分;受到相关科室通报批评,每次扣 5 分。</w:t>
            </w:r>
          </w:p>
          <w:p w14:paraId="1157CD4E">
            <w:pPr>
              <w:pStyle w:val="5"/>
              <w:ind w:firstLine="426"/>
              <w:jc w:val="left"/>
            </w:pPr>
            <w:r>
              <w:rPr>
                <w:rFonts w:ascii="仿宋_GB2312" w:hAnsi="仿宋_GB2312" w:eastAsia="仿宋_GB2312" w:cs="仿宋_GB2312"/>
                <w:color w:val="000000"/>
                <w:sz w:val="22"/>
              </w:rPr>
              <w:t>（5）执行指令和实施报告制度评分</w:t>
            </w:r>
          </w:p>
          <w:p w14:paraId="093A1F26">
            <w:pPr>
              <w:pStyle w:val="5"/>
              <w:ind w:firstLine="426"/>
              <w:jc w:val="left"/>
            </w:pPr>
            <w:r>
              <w:rPr>
                <w:rFonts w:ascii="仿宋_GB2312" w:hAnsi="仿宋_GB2312" w:eastAsia="仿宋_GB2312" w:cs="仿宋_GB2312"/>
                <w:color w:val="000000"/>
                <w:sz w:val="22"/>
              </w:rPr>
              <w:t>1）作业公司法人代表、项目经理无故缺席各种会议每次扣 5 分，参会迟到每次扣 1 分。</w:t>
            </w:r>
          </w:p>
          <w:p w14:paraId="2CEA455E">
            <w:pPr>
              <w:pStyle w:val="5"/>
              <w:ind w:firstLine="426"/>
              <w:jc w:val="left"/>
            </w:pPr>
            <w:r>
              <w:rPr>
                <w:rFonts w:ascii="仿宋_GB2312" w:hAnsi="仿宋_GB2312" w:eastAsia="仿宋_GB2312" w:cs="仿宋_GB2312"/>
                <w:color w:val="000000"/>
                <w:sz w:val="22"/>
              </w:rPr>
              <w:t>2）作业公司项目经理无故不在岗,不服从主管部门的指令和安排，每次扣 5 分。</w:t>
            </w:r>
          </w:p>
          <w:p w14:paraId="7E2299D8">
            <w:pPr>
              <w:pStyle w:val="5"/>
              <w:ind w:firstLine="426"/>
              <w:jc w:val="left"/>
            </w:pPr>
            <w:r>
              <w:rPr>
                <w:rFonts w:ascii="仿宋_GB2312" w:hAnsi="仿宋_GB2312" w:eastAsia="仿宋_GB2312" w:cs="仿宋_GB2312"/>
                <w:color w:val="000000"/>
                <w:sz w:val="22"/>
              </w:rPr>
              <w:t>3）作业公司不按要求报送材料和延迟报送材料的,每次扣 5 分。</w:t>
            </w:r>
          </w:p>
          <w:p w14:paraId="3885F84B">
            <w:pPr>
              <w:pStyle w:val="5"/>
              <w:ind w:firstLine="426"/>
              <w:jc w:val="left"/>
            </w:pPr>
            <w:r>
              <w:rPr>
                <w:rFonts w:ascii="仿宋_GB2312" w:hAnsi="仿宋_GB2312" w:eastAsia="仿宋_GB2312" w:cs="仿宋_GB2312"/>
                <w:color w:val="000000"/>
                <w:sz w:val="22"/>
              </w:rPr>
              <w:t>2.4.2作业公司考核管理办法</w:t>
            </w:r>
          </w:p>
          <w:p w14:paraId="6A074B69">
            <w:pPr>
              <w:pStyle w:val="5"/>
              <w:ind w:firstLine="426"/>
              <w:jc w:val="left"/>
            </w:pPr>
            <w:r>
              <w:rPr>
                <w:rFonts w:ascii="仿宋_GB2312" w:hAnsi="仿宋_GB2312" w:eastAsia="仿宋_GB2312" w:cs="仿宋_GB2312"/>
                <w:color w:val="000000"/>
                <w:sz w:val="22"/>
              </w:rPr>
              <w:t>（1）考核实施</w:t>
            </w:r>
          </w:p>
          <w:p w14:paraId="36A14228">
            <w:pPr>
              <w:pStyle w:val="5"/>
              <w:ind w:firstLine="426"/>
              <w:jc w:val="left"/>
            </w:pPr>
            <w:r>
              <w:rPr>
                <w:rFonts w:ascii="仿宋_GB2312" w:hAnsi="仿宋_GB2312" w:eastAsia="仿宋_GB2312" w:cs="仿宋_GB2312"/>
                <w:color w:val="000000"/>
                <w:sz w:val="22"/>
              </w:rPr>
              <w:t>由马边彝族自治县综合行政执法局负责组织。</w:t>
            </w:r>
          </w:p>
          <w:p w14:paraId="74466CBC">
            <w:pPr>
              <w:pStyle w:val="5"/>
              <w:ind w:firstLine="426"/>
              <w:jc w:val="left"/>
            </w:pPr>
            <w:r>
              <w:rPr>
                <w:rFonts w:ascii="仿宋_GB2312" w:hAnsi="仿宋_GB2312" w:eastAsia="仿宋_GB2312" w:cs="仿宋_GB2312"/>
                <w:color w:val="000000"/>
                <w:sz w:val="22"/>
              </w:rPr>
              <w:t>（2）考核对象</w:t>
            </w:r>
          </w:p>
          <w:p w14:paraId="4BABC77A">
            <w:pPr>
              <w:pStyle w:val="5"/>
              <w:ind w:firstLine="426"/>
              <w:jc w:val="left"/>
            </w:pPr>
            <w:r>
              <w:rPr>
                <w:rFonts w:ascii="仿宋_GB2312" w:hAnsi="仿宋_GB2312" w:eastAsia="仿宋_GB2312" w:cs="仿宋_GB2312"/>
                <w:color w:val="000000"/>
                <w:sz w:val="22"/>
              </w:rPr>
              <w:t>本项目中标生活垃圾收运作业公司。</w:t>
            </w:r>
          </w:p>
          <w:p w14:paraId="13E4A99A">
            <w:pPr>
              <w:pStyle w:val="5"/>
              <w:ind w:firstLine="426"/>
              <w:jc w:val="left"/>
            </w:pPr>
            <w:r>
              <w:rPr>
                <w:rFonts w:ascii="仿宋_GB2312" w:hAnsi="仿宋_GB2312" w:eastAsia="仿宋_GB2312" w:cs="仿宋_GB2312"/>
                <w:color w:val="000000"/>
                <w:sz w:val="22"/>
              </w:rPr>
              <w:t>（3）考核标准</w:t>
            </w:r>
          </w:p>
          <w:p w14:paraId="599C50B6">
            <w:pPr>
              <w:pStyle w:val="5"/>
              <w:ind w:firstLine="426"/>
              <w:jc w:val="left"/>
            </w:pPr>
            <w:r>
              <w:rPr>
                <w:rFonts w:ascii="仿宋_GB2312" w:hAnsi="仿宋_GB2312" w:eastAsia="仿宋_GB2312" w:cs="仿宋_GB2312"/>
                <w:color w:val="000000"/>
                <w:sz w:val="22"/>
              </w:rPr>
              <w:t>按照“2.4.1作业公司考核评分细则”执行。</w:t>
            </w:r>
            <w:r>
              <w:rPr>
                <w:rFonts w:ascii="仿宋_GB2312" w:hAnsi="仿宋_GB2312" w:eastAsia="仿宋_GB2312" w:cs="仿宋_GB2312"/>
              </w:rPr>
              <w:t xml:space="preserve"> </w:t>
            </w:r>
          </w:p>
          <w:p w14:paraId="7E525CA5">
            <w:pPr>
              <w:pStyle w:val="5"/>
              <w:ind w:firstLine="426"/>
              <w:jc w:val="left"/>
            </w:pPr>
            <w:r>
              <w:rPr>
                <w:rFonts w:ascii="仿宋_GB2312" w:hAnsi="仿宋_GB2312" w:eastAsia="仿宋_GB2312" w:cs="仿宋_GB2312"/>
                <w:color w:val="000000"/>
                <w:sz w:val="22"/>
              </w:rPr>
              <w:t>（4）考核办法</w:t>
            </w:r>
          </w:p>
          <w:p w14:paraId="78ADED4D">
            <w:pPr>
              <w:pStyle w:val="5"/>
              <w:ind w:firstLine="426"/>
              <w:jc w:val="left"/>
            </w:pPr>
            <w:r>
              <w:rPr>
                <w:rFonts w:ascii="仿宋_GB2312" w:hAnsi="仿宋_GB2312" w:eastAsia="仿宋_GB2312" w:cs="仿宋_GB2312"/>
                <w:color w:val="000000"/>
                <w:sz w:val="22"/>
              </w:rPr>
              <w:t>检查考核为“日巡查、月考核”两种形式。日巡查由各乡镇、村（社区）、马边彝族自治县综合行政执法局巡查人员组织实施，主要由乡镇、村（社区）发现问题、群众反映问题等，采取每日巡查方式进行；月考核由马边彝族自治县综合行政执法局组织实施，每月一次。</w:t>
            </w:r>
          </w:p>
          <w:p w14:paraId="1609D205">
            <w:pPr>
              <w:pStyle w:val="5"/>
              <w:ind w:firstLine="426"/>
              <w:jc w:val="left"/>
            </w:pPr>
            <w:r>
              <w:rPr>
                <w:rFonts w:ascii="仿宋_GB2312" w:hAnsi="仿宋_GB2312" w:eastAsia="仿宋_GB2312" w:cs="仿宋_GB2312"/>
                <w:color w:val="000000"/>
                <w:sz w:val="22"/>
              </w:rPr>
              <w:t>（5）评分办法</w:t>
            </w:r>
          </w:p>
          <w:p w14:paraId="4DF6ECA0">
            <w:pPr>
              <w:pStyle w:val="5"/>
              <w:ind w:firstLine="426"/>
              <w:jc w:val="left"/>
            </w:pPr>
            <w:r>
              <w:rPr>
                <w:rFonts w:ascii="仿宋_GB2312" w:hAnsi="仿宋_GB2312" w:eastAsia="仿宋_GB2312" w:cs="仿宋_GB2312"/>
                <w:color w:val="000000"/>
                <w:sz w:val="22"/>
              </w:rPr>
              <w:t>考核实行百分制，其中日巡查占70%，月考核占 30%。即日巡查70分，月考核 30 分。</w:t>
            </w:r>
          </w:p>
          <w:p w14:paraId="5E90D361">
            <w:pPr>
              <w:pStyle w:val="5"/>
              <w:ind w:firstLine="426"/>
              <w:jc w:val="left"/>
            </w:pPr>
            <w:r>
              <w:rPr>
                <w:rFonts w:ascii="仿宋_GB2312" w:hAnsi="仿宋_GB2312" w:eastAsia="仿宋_GB2312" w:cs="仿宋_GB2312"/>
                <w:color w:val="000000"/>
                <w:sz w:val="22"/>
              </w:rPr>
              <w:t>（6）结果运算</w:t>
            </w:r>
          </w:p>
          <w:p w14:paraId="3863E216">
            <w:pPr>
              <w:pStyle w:val="5"/>
              <w:ind w:firstLine="426"/>
              <w:jc w:val="left"/>
            </w:pPr>
            <w:r>
              <w:rPr>
                <w:rFonts w:ascii="仿宋_GB2312" w:hAnsi="仿宋_GB2312" w:eastAsia="仿宋_GB2312" w:cs="仿宋_GB2312"/>
                <w:color w:val="000000"/>
                <w:sz w:val="22"/>
              </w:rPr>
              <w:t>1）考核处罚：依据考核结果扣减作业公司服务费，具体标准如下：</w:t>
            </w:r>
          </w:p>
          <w:p w14:paraId="331125E1">
            <w:pPr>
              <w:pStyle w:val="5"/>
              <w:ind w:firstLine="426"/>
              <w:jc w:val="left"/>
            </w:pPr>
            <w:r>
              <w:rPr>
                <w:rFonts w:ascii="仿宋_GB2312" w:hAnsi="仿宋_GB2312" w:eastAsia="仿宋_GB2312" w:cs="仿宋_GB2312"/>
                <w:color w:val="000000"/>
                <w:sz w:val="22"/>
              </w:rPr>
              <w:t>①日巡查按照每分100元标准处罚,月考核按照每分200元标准处罚；</w:t>
            </w:r>
          </w:p>
          <w:p w14:paraId="76FE16CB">
            <w:pPr>
              <w:pStyle w:val="5"/>
              <w:ind w:firstLine="426"/>
              <w:jc w:val="left"/>
            </w:pPr>
            <w:r>
              <w:rPr>
                <w:rFonts w:ascii="仿宋_GB2312" w:hAnsi="仿宋_GB2312" w:eastAsia="仿宋_GB2312" w:cs="仿宋_GB2312"/>
                <w:color w:val="000000"/>
                <w:sz w:val="22"/>
              </w:rPr>
              <w:t>②群众投诉举报按照每分200元标准处罚；</w:t>
            </w:r>
          </w:p>
          <w:p w14:paraId="3DE9DA0A">
            <w:pPr>
              <w:pStyle w:val="5"/>
              <w:ind w:firstLine="426"/>
              <w:jc w:val="left"/>
            </w:pPr>
            <w:r>
              <w:rPr>
                <w:rFonts w:ascii="仿宋_GB2312" w:hAnsi="仿宋_GB2312" w:eastAsia="仿宋_GB2312" w:cs="仿宋_GB2312"/>
                <w:color w:val="000000"/>
                <w:sz w:val="22"/>
              </w:rPr>
              <w:t>③综合执法局相关科室检查发现问题按照每分300元标准处罚；</w:t>
            </w:r>
          </w:p>
          <w:p w14:paraId="52C48D34">
            <w:pPr>
              <w:pStyle w:val="5"/>
              <w:ind w:firstLine="426"/>
              <w:jc w:val="left"/>
            </w:pPr>
            <w:r>
              <w:rPr>
                <w:rFonts w:ascii="仿宋_GB2312" w:hAnsi="仿宋_GB2312" w:eastAsia="仿宋_GB2312" w:cs="仿宋_GB2312"/>
                <w:color w:val="000000"/>
                <w:sz w:val="22"/>
              </w:rPr>
              <w:t>④综合执法局局领导点名批评,按照每分400元标准处罚；</w:t>
            </w:r>
          </w:p>
          <w:p w14:paraId="7455D40C">
            <w:pPr>
              <w:pStyle w:val="5"/>
              <w:ind w:firstLine="426"/>
              <w:jc w:val="left"/>
            </w:pPr>
            <w:r>
              <w:rPr>
                <w:rFonts w:ascii="仿宋_GB2312" w:hAnsi="仿宋_GB2312" w:eastAsia="仿宋_GB2312" w:cs="仿宋_GB2312"/>
                <w:color w:val="000000"/>
                <w:sz w:val="22"/>
              </w:rPr>
              <w:t>⑤被媒体曝光或部门通报、马边县组织的各种测评和考核扣分的,按照每分 500元标准处罚；</w:t>
            </w:r>
          </w:p>
          <w:p w14:paraId="6339A43E">
            <w:pPr>
              <w:pStyle w:val="5"/>
              <w:ind w:firstLine="426"/>
              <w:jc w:val="left"/>
            </w:pPr>
            <w:r>
              <w:rPr>
                <w:rFonts w:ascii="仿宋_GB2312" w:hAnsi="仿宋_GB2312" w:eastAsia="仿宋_GB2312" w:cs="仿宋_GB2312"/>
                <w:color w:val="000000"/>
                <w:sz w:val="22"/>
              </w:rPr>
              <w:t>⑥被市级领导、市级媒体曝光或市级部门通报、乐山市组织的各种测评和考核扣分的,均按照每分600元标准处罚。</w:t>
            </w:r>
          </w:p>
          <w:p w14:paraId="2994C066">
            <w:pPr>
              <w:pStyle w:val="5"/>
              <w:ind w:firstLine="426"/>
              <w:jc w:val="left"/>
            </w:pPr>
            <w:r>
              <w:rPr>
                <w:rFonts w:ascii="仿宋_GB2312" w:hAnsi="仿宋_GB2312" w:eastAsia="仿宋_GB2312" w:cs="仿宋_GB2312"/>
                <w:color w:val="000000"/>
                <w:sz w:val="22"/>
              </w:rPr>
              <w:t>2）淘汰制度：任意三个月作业公司考核得分70分及以下，甲方有权直接中止合同，由此产生的经济损失，由作业公司自行承担。</w:t>
            </w:r>
          </w:p>
          <w:p w14:paraId="49039CF6">
            <w:pPr>
              <w:pStyle w:val="5"/>
              <w:ind w:firstLine="426"/>
              <w:jc w:val="left"/>
            </w:pPr>
            <w:r>
              <w:rPr>
                <w:rFonts w:ascii="仿宋_GB2312" w:hAnsi="仿宋_GB2312" w:eastAsia="仿宋_GB2312" w:cs="仿宋_GB2312"/>
                <w:color w:val="000000"/>
                <w:sz w:val="22"/>
              </w:rPr>
              <w:t>3）负面影响：若因管理不善、作业方式不当或执行指令不力等原因,造成重大事故,社会影响较大,视其负面影响大小,给予30000元以上(含)50000元以下的现金处罚。</w:t>
            </w:r>
          </w:p>
          <w:p w14:paraId="25A2B438">
            <w:pPr>
              <w:pStyle w:val="5"/>
              <w:ind w:firstLine="426"/>
              <w:jc w:val="left"/>
            </w:pPr>
            <w:r>
              <w:rPr>
                <w:rFonts w:ascii="仿宋_GB2312" w:hAnsi="仿宋_GB2312" w:eastAsia="仿宋_GB2312" w:cs="仿宋_GB2312"/>
                <w:color w:val="000000"/>
                <w:sz w:val="22"/>
              </w:rPr>
              <w:t>（7）申请复核</w:t>
            </w:r>
          </w:p>
          <w:p w14:paraId="1345E888">
            <w:pPr>
              <w:pStyle w:val="5"/>
              <w:ind w:firstLine="426"/>
              <w:jc w:val="left"/>
            </w:pPr>
            <w:r>
              <w:rPr>
                <w:rFonts w:ascii="仿宋_GB2312" w:hAnsi="仿宋_GB2312" w:eastAsia="仿宋_GB2312" w:cs="仿宋_GB2312"/>
                <w:color w:val="000000"/>
                <w:sz w:val="22"/>
              </w:rPr>
              <w:t>被考核公司认为考核有误，可以向马边彝族自治县人民政府申请复核，复核只进行一次。</w:t>
            </w:r>
          </w:p>
          <w:p w14:paraId="7C959E7E">
            <w:pPr>
              <w:pStyle w:val="5"/>
              <w:ind w:firstLine="465"/>
              <w:jc w:val="both"/>
            </w:pPr>
            <w:r>
              <w:rPr>
                <w:rFonts w:ascii="仿宋_GB2312" w:hAnsi="仿宋_GB2312" w:eastAsia="仿宋_GB2312" w:cs="仿宋_GB2312"/>
                <w:color w:val="000000"/>
                <w:sz w:val="24"/>
              </w:rPr>
              <w:t>3.</w:t>
            </w:r>
            <w:r>
              <w:rPr>
                <w:rFonts w:ascii="仿宋_GB2312" w:hAnsi="仿宋_GB2312" w:eastAsia="仿宋_GB2312" w:cs="仿宋_GB2312"/>
                <w:color w:val="000000"/>
              </w:rPr>
              <w:t>垃圾转运服务范围</w:t>
            </w:r>
          </w:p>
          <w:tbl>
            <w:tblPr>
              <w:tblStyle w:val="2"/>
              <w:tblW w:w="0" w:type="auto"/>
              <w:tblInd w:w="405" w:type="dxa"/>
              <w:tblBorders>
                <w:top w:val="none" w:color="000000" w:sz="4" w:space="0"/>
                <w:left w:val="none" w:color="000000" w:sz="4" w:space="0"/>
                <w:bottom w:val="none" w:color="000000" w:sz="4" w:space="0"/>
                <w:right w:val="none" w:color="000000" w:sz="4" w:space="0"/>
                <w:insideH w:val="none" w:color="auto" w:sz="0" w:space="0"/>
                <w:insideV w:val="none" w:color="auto" w:sz="0" w:space="0"/>
              </w:tblBorders>
              <w:tblLayout w:type="autofit"/>
              <w:tblCellMar>
                <w:top w:w="0" w:type="dxa"/>
                <w:left w:w="108" w:type="dxa"/>
                <w:bottom w:w="0" w:type="dxa"/>
                <w:right w:w="108" w:type="dxa"/>
              </w:tblCellMar>
            </w:tblPr>
            <w:tblGrid>
              <w:gridCol w:w="735"/>
              <w:gridCol w:w="2934"/>
              <w:gridCol w:w="1519"/>
            </w:tblGrid>
            <w:tr w14:paraId="0B3FC2F2">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top"/>
                </w:tcPr>
                <w:p w14:paraId="5BD87D2B">
                  <w:pPr>
                    <w:pStyle w:val="5"/>
                    <w:jc w:val="both"/>
                  </w:pPr>
                  <w:r>
                    <w:rPr>
                      <w:rFonts w:ascii="仿宋_GB2312" w:hAnsi="仿宋_GB2312" w:eastAsia="仿宋_GB2312" w:cs="仿宋_GB2312"/>
                      <w:color w:val="000000"/>
                      <w:sz w:val="24"/>
                    </w:rPr>
                    <w:t>序号</w:t>
                  </w:r>
                </w:p>
              </w:tc>
              <w:tc>
                <w:tcPr>
                  <w:tcW w:w="3314" w:type="dxa"/>
                  <w:tcBorders>
                    <w:top w:val="single" w:color="000000" w:sz="4" w:space="0"/>
                    <w:left w:val="nil"/>
                    <w:bottom w:val="single" w:color="000000" w:sz="4" w:space="0"/>
                    <w:right w:val="single" w:color="000000" w:sz="4" w:space="0"/>
                  </w:tcBorders>
                  <w:tcMar>
                    <w:top w:w="15" w:type="dxa"/>
                    <w:left w:w="15" w:type="dxa"/>
                    <w:bottom w:w="15" w:type="dxa"/>
                    <w:right w:w="15" w:type="dxa"/>
                  </w:tcMar>
                  <w:vAlign w:val="top"/>
                </w:tcPr>
                <w:p w14:paraId="2F949448">
                  <w:pPr>
                    <w:pStyle w:val="5"/>
                    <w:ind w:left="210"/>
                    <w:jc w:val="center"/>
                  </w:pPr>
                  <w:r>
                    <w:rPr>
                      <w:rFonts w:ascii="仿宋_GB2312" w:hAnsi="仿宋_GB2312" w:eastAsia="仿宋_GB2312" w:cs="仿宋_GB2312"/>
                      <w:b/>
                      <w:color w:val="000000"/>
                      <w:sz w:val="24"/>
                    </w:rPr>
                    <w:t>乡镇名称</w:t>
                  </w:r>
                </w:p>
              </w:tc>
              <w:tc>
                <w:tcPr>
                  <w:tcW w:w="1657" w:type="dxa"/>
                  <w:tcBorders>
                    <w:top w:val="single" w:color="000000" w:sz="4" w:space="0"/>
                    <w:left w:val="nil"/>
                    <w:bottom w:val="single" w:color="000000" w:sz="4" w:space="0"/>
                    <w:right w:val="single" w:color="000000" w:sz="4" w:space="0"/>
                  </w:tcBorders>
                  <w:tcMar>
                    <w:top w:w="15" w:type="dxa"/>
                    <w:left w:w="15" w:type="dxa"/>
                    <w:bottom w:w="15" w:type="dxa"/>
                    <w:right w:w="15" w:type="dxa"/>
                  </w:tcMar>
                  <w:vAlign w:val="top"/>
                </w:tcPr>
                <w:p w14:paraId="01E386A9">
                  <w:pPr>
                    <w:pStyle w:val="5"/>
                    <w:ind w:left="210"/>
                    <w:jc w:val="center"/>
                  </w:pPr>
                  <w:r>
                    <w:rPr>
                      <w:rFonts w:ascii="仿宋_GB2312" w:hAnsi="仿宋_GB2312" w:eastAsia="仿宋_GB2312" w:cs="仿宋_GB2312"/>
                      <w:b/>
                      <w:color w:val="000000"/>
                      <w:sz w:val="24"/>
                    </w:rPr>
                    <w:t>村（社区）数量</w:t>
                  </w:r>
                </w:p>
              </w:tc>
            </w:tr>
            <w:tr w14:paraId="54DCB21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7131A306">
                  <w:pPr>
                    <w:pStyle w:val="5"/>
                    <w:ind w:firstLine="465"/>
                    <w:jc w:val="center"/>
                  </w:pPr>
                  <w:r>
                    <w:rPr>
                      <w:rFonts w:ascii="仿宋_GB2312" w:hAnsi="仿宋_GB2312" w:eastAsia="仿宋_GB2312" w:cs="仿宋_GB2312"/>
                      <w:color w:val="000000"/>
                      <w:sz w:val="24"/>
                    </w:rPr>
                    <w:t>1</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285FBC40">
                  <w:pPr>
                    <w:pStyle w:val="5"/>
                    <w:ind w:left="225"/>
                    <w:jc w:val="center"/>
                  </w:pPr>
                  <w:r>
                    <w:rPr>
                      <w:rFonts w:ascii="仿宋_GB2312" w:hAnsi="仿宋_GB2312" w:eastAsia="仿宋_GB2312" w:cs="仿宋_GB2312"/>
                      <w:color w:val="000000"/>
                      <w:sz w:val="24"/>
                    </w:rPr>
                    <w:t>民建镇（县城区除外）</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7DFCD019">
                  <w:pPr>
                    <w:pStyle w:val="5"/>
                    <w:ind w:left="225"/>
                    <w:jc w:val="center"/>
                  </w:pPr>
                  <w:r>
                    <w:rPr>
                      <w:rFonts w:ascii="仿宋_GB2312" w:hAnsi="仿宋_GB2312" w:eastAsia="仿宋_GB2312" w:cs="仿宋_GB2312"/>
                      <w:color w:val="000000"/>
                      <w:sz w:val="24"/>
                    </w:rPr>
                    <w:t>11</w:t>
                  </w:r>
                </w:p>
              </w:tc>
            </w:tr>
            <w:tr w14:paraId="1F79EEB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6369D598">
                  <w:pPr>
                    <w:pStyle w:val="5"/>
                    <w:ind w:firstLine="465"/>
                    <w:jc w:val="center"/>
                  </w:pPr>
                  <w:r>
                    <w:rPr>
                      <w:rFonts w:ascii="仿宋_GB2312" w:hAnsi="仿宋_GB2312" w:eastAsia="仿宋_GB2312" w:cs="仿宋_GB2312"/>
                      <w:color w:val="000000"/>
                      <w:sz w:val="24"/>
                    </w:rPr>
                    <w:t>2</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5CE6AE9F">
                  <w:pPr>
                    <w:pStyle w:val="5"/>
                    <w:ind w:left="225"/>
                    <w:jc w:val="center"/>
                  </w:pPr>
                  <w:r>
                    <w:rPr>
                      <w:rFonts w:ascii="仿宋_GB2312" w:hAnsi="仿宋_GB2312" w:eastAsia="仿宋_GB2312" w:cs="仿宋_GB2312"/>
                      <w:color w:val="000000"/>
                      <w:sz w:val="24"/>
                    </w:rPr>
                    <w:t>劳动镇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207C71E8">
                  <w:pPr>
                    <w:pStyle w:val="5"/>
                    <w:ind w:left="225"/>
                    <w:jc w:val="center"/>
                  </w:pPr>
                  <w:r>
                    <w:rPr>
                      <w:rFonts w:ascii="仿宋_GB2312" w:hAnsi="仿宋_GB2312" w:eastAsia="仿宋_GB2312" w:cs="仿宋_GB2312"/>
                      <w:color w:val="000000"/>
                      <w:sz w:val="24"/>
                    </w:rPr>
                    <w:t>12</w:t>
                  </w:r>
                </w:p>
              </w:tc>
            </w:tr>
            <w:tr w14:paraId="62CC247B">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2E6E2AC1">
                  <w:pPr>
                    <w:pStyle w:val="5"/>
                    <w:ind w:firstLine="465"/>
                    <w:jc w:val="center"/>
                  </w:pPr>
                  <w:r>
                    <w:rPr>
                      <w:rFonts w:ascii="仿宋_GB2312" w:hAnsi="仿宋_GB2312" w:eastAsia="仿宋_GB2312" w:cs="仿宋_GB2312"/>
                      <w:color w:val="000000"/>
                      <w:sz w:val="24"/>
                    </w:rPr>
                    <w:t>3</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564BA31F">
                  <w:pPr>
                    <w:pStyle w:val="5"/>
                    <w:ind w:left="225"/>
                    <w:jc w:val="center"/>
                  </w:pPr>
                  <w:r>
                    <w:rPr>
                      <w:rFonts w:ascii="仿宋_GB2312" w:hAnsi="仿宋_GB2312" w:eastAsia="仿宋_GB2312" w:cs="仿宋_GB2312"/>
                      <w:color w:val="000000"/>
                      <w:sz w:val="24"/>
                    </w:rPr>
                    <w:t>建设镇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2CA45CAC">
                  <w:pPr>
                    <w:pStyle w:val="5"/>
                    <w:ind w:left="225"/>
                    <w:jc w:val="center"/>
                  </w:pPr>
                  <w:r>
                    <w:rPr>
                      <w:rFonts w:ascii="仿宋_GB2312" w:hAnsi="仿宋_GB2312" w:eastAsia="仿宋_GB2312" w:cs="仿宋_GB2312"/>
                      <w:color w:val="000000"/>
                      <w:sz w:val="24"/>
                    </w:rPr>
                    <w:t>6</w:t>
                  </w:r>
                </w:p>
              </w:tc>
            </w:tr>
            <w:tr w14:paraId="5AEBDEA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29E957A1">
                  <w:pPr>
                    <w:pStyle w:val="5"/>
                    <w:ind w:firstLine="465"/>
                    <w:jc w:val="center"/>
                  </w:pPr>
                  <w:r>
                    <w:rPr>
                      <w:rFonts w:ascii="仿宋_GB2312" w:hAnsi="仿宋_GB2312" w:eastAsia="仿宋_GB2312" w:cs="仿宋_GB2312"/>
                      <w:color w:val="000000"/>
                      <w:sz w:val="24"/>
                    </w:rPr>
                    <w:t>4</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2293D4E4">
                  <w:pPr>
                    <w:pStyle w:val="5"/>
                    <w:ind w:left="225"/>
                    <w:jc w:val="center"/>
                  </w:pPr>
                  <w:r>
                    <w:rPr>
                      <w:rFonts w:ascii="仿宋_GB2312" w:hAnsi="仿宋_GB2312" w:eastAsia="仿宋_GB2312" w:cs="仿宋_GB2312"/>
                      <w:color w:val="000000"/>
                      <w:sz w:val="24"/>
                    </w:rPr>
                    <w:t>荍坝镇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1D61DDB2">
                  <w:pPr>
                    <w:pStyle w:val="5"/>
                    <w:ind w:left="225"/>
                    <w:jc w:val="center"/>
                  </w:pPr>
                  <w:r>
                    <w:rPr>
                      <w:rFonts w:ascii="仿宋_GB2312" w:hAnsi="仿宋_GB2312" w:eastAsia="仿宋_GB2312" w:cs="仿宋_GB2312"/>
                      <w:color w:val="000000"/>
                      <w:sz w:val="24"/>
                    </w:rPr>
                    <w:t>10</w:t>
                  </w:r>
                </w:p>
              </w:tc>
            </w:tr>
            <w:tr w14:paraId="63AC359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5E74072E">
                  <w:pPr>
                    <w:pStyle w:val="5"/>
                    <w:ind w:firstLine="465"/>
                    <w:jc w:val="center"/>
                  </w:pPr>
                  <w:r>
                    <w:rPr>
                      <w:rFonts w:ascii="仿宋_GB2312" w:hAnsi="仿宋_GB2312" w:eastAsia="仿宋_GB2312" w:cs="仿宋_GB2312"/>
                      <w:color w:val="000000"/>
                      <w:sz w:val="24"/>
                    </w:rPr>
                    <w:t>5</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75CF8804">
                  <w:pPr>
                    <w:pStyle w:val="5"/>
                    <w:ind w:left="225"/>
                    <w:jc w:val="center"/>
                  </w:pPr>
                  <w:r>
                    <w:rPr>
                      <w:rFonts w:ascii="仿宋_GB2312" w:hAnsi="仿宋_GB2312" w:eastAsia="仿宋_GB2312" w:cs="仿宋_GB2312"/>
                      <w:color w:val="000000"/>
                      <w:sz w:val="24"/>
                    </w:rPr>
                    <w:t>民主镇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00F047BE">
                  <w:pPr>
                    <w:pStyle w:val="5"/>
                    <w:ind w:left="225"/>
                    <w:jc w:val="center"/>
                  </w:pPr>
                  <w:r>
                    <w:rPr>
                      <w:rFonts w:ascii="仿宋_GB2312" w:hAnsi="仿宋_GB2312" w:eastAsia="仿宋_GB2312" w:cs="仿宋_GB2312"/>
                      <w:color w:val="000000"/>
                      <w:sz w:val="24"/>
                    </w:rPr>
                    <w:t>8</w:t>
                  </w:r>
                </w:p>
              </w:tc>
            </w:tr>
            <w:tr w14:paraId="74E3F633">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40667083">
                  <w:pPr>
                    <w:pStyle w:val="5"/>
                    <w:ind w:firstLine="465"/>
                    <w:jc w:val="center"/>
                  </w:pPr>
                  <w:r>
                    <w:rPr>
                      <w:rFonts w:ascii="仿宋_GB2312" w:hAnsi="仿宋_GB2312" w:eastAsia="仿宋_GB2312" w:cs="仿宋_GB2312"/>
                      <w:color w:val="000000"/>
                      <w:sz w:val="24"/>
                    </w:rPr>
                    <w:t>6</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381B028C">
                  <w:pPr>
                    <w:pStyle w:val="5"/>
                    <w:ind w:left="225"/>
                    <w:jc w:val="center"/>
                  </w:pPr>
                  <w:r>
                    <w:rPr>
                      <w:rFonts w:ascii="仿宋_GB2312" w:hAnsi="仿宋_GB2312" w:eastAsia="仿宋_GB2312" w:cs="仿宋_GB2312"/>
                      <w:color w:val="000000"/>
                      <w:sz w:val="24"/>
                    </w:rPr>
                    <w:t>苏坝镇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1EBCC4FE">
                  <w:pPr>
                    <w:pStyle w:val="5"/>
                    <w:ind w:left="225"/>
                    <w:jc w:val="center"/>
                  </w:pPr>
                  <w:r>
                    <w:rPr>
                      <w:rFonts w:ascii="仿宋_GB2312" w:hAnsi="仿宋_GB2312" w:eastAsia="仿宋_GB2312" w:cs="仿宋_GB2312"/>
                      <w:color w:val="000000"/>
                      <w:sz w:val="24"/>
                    </w:rPr>
                    <w:t>9</w:t>
                  </w:r>
                </w:p>
              </w:tc>
            </w:tr>
            <w:tr w14:paraId="085791BD">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71F48064">
                  <w:pPr>
                    <w:pStyle w:val="5"/>
                    <w:ind w:firstLine="465"/>
                    <w:jc w:val="center"/>
                  </w:pPr>
                  <w:r>
                    <w:rPr>
                      <w:rFonts w:ascii="仿宋_GB2312" w:hAnsi="仿宋_GB2312" w:eastAsia="仿宋_GB2312" w:cs="仿宋_GB2312"/>
                      <w:color w:val="000000"/>
                      <w:sz w:val="24"/>
                    </w:rPr>
                    <w:t>7</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0ADC5238">
                  <w:pPr>
                    <w:pStyle w:val="5"/>
                    <w:ind w:left="225"/>
                    <w:jc w:val="center"/>
                  </w:pPr>
                  <w:r>
                    <w:rPr>
                      <w:rFonts w:ascii="仿宋_GB2312" w:hAnsi="仿宋_GB2312" w:eastAsia="仿宋_GB2312" w:cs="仿宋_GB2312"/>
                      <w:color w:val="000000"/>
                      <w:sz w:val="24"/>
                    </w:rPr>
                    <w:t>烟峰镇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664FC5BD">
                  <w:pPr>
                    <w:pStyle w:val="5"/>
                    <w:ind w:left="225"/>
                    <w:jc w:val="center"/>
                  </w:pPr>
                  <w:r>
                    <w:rPr>
                      <w:rFonts w:ascii="仿宋_GB2312" w:hAnsi="仿宋_GB2312" w:eastAsia="仿宋_GB2312" w:cs="仿宋_GB2312"/>
                      <w:color w:val="000000"/>
                      <w:sz w:val="24"/>
                    </w:rPr>
                    <w:t>5</w:t>
                  </w:r>
                </w:p>
              </w:tc>
            </w:tr>
            <w:tr w14:paraId="70ED6FE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79BB78B9">
                  <w:pPr>
                    <w:pStyle w:val="5"/>
                    <w:ind w:firstLine="465"/>
                    <w:jc w:val="center"/>
                  </w:pPr>
                  <w:r>
                    <w:rPr>
                      <w:rFonts w:ascii="仿宋_GB2312" w:hAnsi="仿宋_GB2312" w:eastAsia="仿宋_GB2312" w:cs="仿宋_GB2312"/>
                      <w:color w:val="000000"/>
                      <w:sz w:val="24"/>
                    </w:rPr>
                    <w:t>8</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009FBCE5">
                  <w:pPr>
                    <w:pStyle w:val="5"/>
                    <w:ind w:left="225"/>
                    <w:jc w:val="center"/>
                  </w:pPr>
                  <w:r>
                    <w:rPr>
                      <w:rFonts w:ascii="仿宋_GB2312" w:hAnsi="仿宋_GB2312" w:eastAsia="仿宋_GB2312" w:cs="仿宋_GB2312"/>
                      <w:color w:val="000000"/>
                      <w:sz w:val="24"/>
                    </w:rPr>
                    <w:t>高卓营乡</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632D8619">
                  <w:pPr>
                    <w:pStyle w:val="5"/>
                    <w:ind w:left="225"/>
                    <w:jc w:val="center"/>
                  </w:pPr>
                  <w:r>
                    <w:rPr>
                      <w:rFonts w:ascii="仿宋_GB2312" w:hAnsi="仿宋_GB2312" w:eastAsia="仿宋_GB2312" w:cs="仿宋_GB2312"/>
                      <w:color w:val="000000"/>
                      <w:sz w:val="24"/>
                    </w:rPr>
                    <w:t>5</w:t>
                  </w:r>
                </w:p>
              </w:tc>
            </w:tr>
            <w:tr w14:paraId="0EEA1571">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235522AE">
                  <w:pPr>
                    <w:pStyle w:val="5"/>
                    <w:ind w:firstLine="465"/>
                    <w:jc w:val="center"/>
                  </w:pPr>
                  <w:r>
                    <w:rPr>
                      <w:rFonts w:ascii="仿宋_GB2312" w:hAnsi="仿宋_GB2312" w:eastAsia="仿宋_GB2312" w:cs="仿宋_GB2312"/>
                      <w:color w:val="000000"/>
                      <w:sz w:val="24"/>
                    </w:rPr>
                    <w:t>9</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6ECDB0F8">
                  <w:pPr>
                    <w:pStyle w:val="5"/>
                    <w:ind w:left="225"/>
                    <w:jc w:val="center"/>
                  </w:pPr>
                  <w:r>
                    <w:rPr>
                      <w:rFonts w:ascii="仿宋_GB2312" w:hAnsi="仿宋_GB2312" w:eastAsia="仿宋_GB2312" w:cs="仿宋_GB2312"/>
                      <w:color w:val="000000"/>
                      <w:sz w:val="24"/>
                    </w:rPr>
                    <w:t>永红乡</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3DEB36AB">
                  <w:pPr>
                    <w:pStyle w:val="5"/>
                    <w:ind w:left="225"/>
                    <w:jc w:val="center"/>
                  </w:pPr>
                  <w:r>
                    <w:rPr>
                      <w:rFonts w:ascii="仿宋_GB2312" w:hAnsi="仿宋_GB2312" w:eastAsia="仿宋_GB2312" w:cs="仿宋_GB2312"/>
                      <w:color w:val="000000"/>
                      <w:sz w:val="24"/>
                    </w:rPr>
                    <w:t>4</w:t>
                  </w:r>
                </w:p>
              </w:tc>
            </w:tr>
            <w:tr w14:paraId="489783D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1D9D1B49">
                  <w:pPr>
                    <w:pStyle w:val="5"/>
                    <w:ind w:firstLine="465"/>
                    <w:jc w:val="center"/>
                  </w:pPr>
                  <w:r>
                    <w:rPr>
                      <w:rFonts w:ascii="仿宋_GB2312" w:hAnsi="仿宋_GB2312" w:eastAsia="仿宋_GB2312" w:cs="仿宋_GB2312"/>
                      <w:color w:val="000000"/>
                      <w:sz w:val="24"/>
                    </w:rPr>
                    <w:t>10</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12B54472">
                  <w:pPr>
                    <w:pStyle w:val="5"/>
                    <w:ind w:left="225"/>
                    <w:jc w:val="center"/>
                  </w:pPr>
                  <w:r>
                    <w:rPr>
                      <w:rFonts w:ascii="仿宋_GB2312" w:hAnsi="仿宋_GB2312" w:eastAsia="仿宋_GB2312" w:cs="仿宋_GB2312"/>
                      <w:color w:val="000000"/>
                      <w:sz w:val="24"/>
                    </w:rPr>
                    <w:t>梅林镇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2AEBD770">
                  <w:pPr>
                    <w:pStyle w:val="5"/>
                    <w:ind w:left="225"/>
                    <w:jc w:val="center"/>
                  </w:pPr>
                  <w:r>
                    <w:rPr>
                      <w:rFonts w:ascii="仿宋_GB2312" w:hAnsi="仿宋_GB2312" w:eastAsia="仿宋_GB2312" w:cs="仿宋_GB2312"/>
                      <w:color w:val="000000"/>
                      <w:sz w:val="24"/>
                    </w:rPr>
                    <w:t>9</w:t>
                  </w:r>
                </w:p>
              </w:tc>
            </w:tr>
            <w:tr w14:paraId="7FB8D304">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7298A08E">
                  <w:pPr>
                    <w:pStyle w:val="5"/>
                    <w:ind w:firstLine="465"/>
                    <w:jc w:val="center"/>
                  </w:pPr>
                  <w:r>
                    <w:rPr>
                      <w:rFonts w:ascii="仿宋_GB2312" w:hAnsi="仿宋_GB2312" w:eastAsia="仿宋_GB2312" w:cs="仿宋_GB2312"/>
                      <w:color w:val="000000"/>
                      <w:sz w:val="24"/>
                    </w:rPr>
                    <w:t>11</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670D9D27">
                  <w:pPr>
                    <w:pStyle w:val="5"/>
                    <w:ind w:left="225"/>
                    <w:jc w:val="center"/>
                  </w:pPr>
                  <w:r>
                    <w:rPr>
                      <w:rFonts w:ascii="仿宋_GB2312" w:hAnsi="仿宋_GB2312" w:eastAsia="仿宋_GB2312" w:cs="仿宋_GB2312"/>
                      <w:color w:val="000000"/>
                      <w:sz w:val="24"/>
                    </w:rPr>
                    <w:t>三河口镇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699010D1">
                  <w:pPr>
                    <w:pStyle w:val="5"/>
                    <w:ind w:left="225"/>
                    <w:jc w:val="center"/>
                  </w:pPr>
                  <w:r>
                    <w:rPr>
                      <w:rFonts w:ascii="仿宋_GB2312" w:hAnsi="仿宋_GB2312" w:eastAsia="仿宋_GB2312" w:cs="仿宋_GB2312"/>
                      <w:color w:val="000000"/>
                      <w:sz w:val="24"/>
                    </w:rPr>
                    <w:t>8</w:t>
                  </w:r>
                </w:p>
              </w:tc>
            </w:tr>
            <w:tr w14:paraId="2689FAAA">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37D38754">
                  <w:pPr>
                    <w:pStyle w:val="5"/>
                    <w:ind w:firstLine="465"/>
                    <w:jc w:val="center"/>
                  </w:pPr>
                  <w:r>
                    <w:rPr>
                      <w:rFonts w:ascii="仿宋_GB2312" w:hAnsi="仿宋_GB2312" w:eastAsia="仿宋_GB2312" w:cs="仿宋_GB2312"/>
                      <w:color w:val="000000"/>
                      <w:sz w:val="24"/>
                    </w:rPr>
                    <w:t>12</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19695723">
                  <w:pPr>
                    <w:pStyle w:val="5"/>
                    <w:ind w:left="225"/>
                    <w:jc w:val="center"/>
                  </w:pPr>
                  <w:r>
                    <w:rPr>
                      <w:rFonts w:ascii="仿宋_GB2312" w:hAnsi="仿宋_GB2312" w:eastAsia="仿宋_GB2312" w:cs="仿宋_GB2312"/>
                      <w:color w:val="000000"/>
                      <w:sz w:val="24"/>
                    </w:rPr>
                    <w:t>下溪镇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0CF11B12">
                  <w:pPr>
                    <w:pStyle w:val="5"/>
                    <w:ind w:left="225"/>
                    <w:jc w:val="center"/>
                  </w:pPr>
                  <w:r>
                    <w:rPr>
                      <w:rFonts w:ascii="仿宋_GB2312" w:hAnsi="仿宋_GB2312" w:eastAsia="仿宋_GB2312" w:cs="仿宋_GB2312"/>
                      <w:color w:val="000000"/>
                      <w:sz w:val="24"/>
                    </w:rPr>
                    <w:t>7</w:t>
                  </w:r>
                </w:p>
              </w:tc>
            </w:tr>
            <w:tr w14:paraId="010E04B5">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4D7338CC">
                  <w:pPr>
                    <w:pStyle w:val="5"/>
                    <w:ind w:firstLine="465"/>
                    <w:jc w:val="center"/>
                  </w:pPr>
                  <w:r>
                    <w:rPr>
                      <w:rFonts w:ascii="仿宋_GB2312" w:hAnsi="仿宋_GB2312" w:eastAsia="仿宋_GB2312" w:cs="仿宋_GB2312"/>
                      <w:color w:val="000000"/>
                      <w:sz w:val="24"/>
                    </w:rPr>
                    <w:t>13</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5198FA13">
                  <w:pPr>
                    <w:pStyle w:val="5"/>
                    <w:ind w:left="225"/>
                    <w:jc w:val="center"/>
                  </w:pPr>
                  <w:r>
                    <w:rPr>
                      <w:rFonts w:ascii="仿宋_GB2312" w:hAnsi="仿宋_GB2312" w:eastAsia="仿宋_GB2312" w:cs="仿宋_GB2312"/>
                      <w:color w:val="000000"/>
                      <w:sz w:val="24"/>
                    </w:rPr>
                    <w:t>雪口山镇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38325EFB">
                  <w:pPr>
                    <w:pStyle w:val="5"/>
                    <w:ind w:left="225"/>
                    <w:jc w:val="center"/>
                  </w:pPr>
                  <w:r>
                    <w:rPr>
                      <w:rFonts w:ascii="仿宋_GB2312" w:hAnsi="仿宋_GB2312" w:eastAsia="仿宋_GB2312" w:cs="仿宋_GB2312"/>
                      <w:color w:val="000000"/>
                      <w:sz w:val="24"/>
                    </w:rPr>
                    <w:t>8</w:t>
                  </w:r>
                </w:p>
              </w:tc>
            </w:tr>
            <w:tr w14:paraId="6890B290">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786B85B4">
                  <w:pPr>
                    <w:pStyle w:val="5"/>
                    <w:ind w:firstLine="465"/>
                    <w:jc w:val="center"/>
                  </w:pPr>
                  <w:r>
                    <w:rPr>
                      <w:rFonts w:ascii="仿宋_GB2312" w:hAnsi="仿宋_GB2312" w:eastAsia="仿宋_GB2312" w:cs="仿宋_GB2312"/>
                      <w:color w:val="000000"/>
                      <w:sz w:val="24"/>
                    </w:rPr>
                    <w:t>14</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7ED56C39">
                  <w:pPr>
                    <w:pStyle w:val="5"/>
                    <w:ind w:left="225"/>
                    <w:jc w:val="center"/>
                  </w:pPr>
                  <w:r>
                    <w:rPr>
                      <w:rFonts w:ascii="仿宋_GB2312" w:hAnsi="仿宋_GB2312" w:eastAsia="仿宋_GB2312" w:cs="仿宋_GB2312"/>
                      <w:color w:val="000000"/>
                      <w:sz w:val="24"/>
                    </w:rPr>
                    <w:t>荣丁镇</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7B79239A">
                  <w:pPr>
                    <w:pStyle w:val="5"/>
                    <w:ind w:left="225"/>
                    <w:jc w:val="center"/>
                  </w:pPr>
                  <w:r>
                    <w:rPr>
                      <w:rFonts w:ascii="仿宋_GB2312" w:hAnsi="仿宋_GB2312" w:eastAsia="仿宋_GB2312" w:cs="仿宋_GB2312"/>
                      <w:color w:val="000000"/>
                      <w:sz w:val="24"/>
                    </w:rPr>
                    <w:t>8</w:t>
                  </w:r>
                </w:p>
              </w:tc>
            </w:tr>
            <w:tr w14:paraId="2A80F56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521E437F">
                  <w:pPr>
                    <w:pStyle w:val="5"/>
                    <w:ind w:firstLine="465"/>
                    <w:jc w:val="center"/>
                  </w:pPr>
                  <w:r>
                    <w:rPr>
                      <w:rFonts w:ascii="仿宋_GB2312" w:hAnsi="仿宋_GB2312" w:eastAsia="仿宋_GB2312" w:cs="仿宋_GB2312"/>
                      <w:color w:val="000000"/>
                      <w:sz w:val="24"/>
                    </w:rPr>
                    <w:t>15</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1C2378D9">
                  <w:pPr>
                    <w:pStyle w:val="5"/>
                    <w:ind w:left="225"/>
                    <w:jc w:val="center"/>
                  </w:pPr>
                  <w:r>
                    <w:rPr>
                      <w:rFonts w:ascii="仿宋_GB2312" w:hAnsi="仿宋_GB2312" w:eastAsia="仿宋_GB2312" w:cs="仿宋_GB2312"/>
                      <w:color w:val="000000"/>
                      <w:sz w:val="24"/>
                    </w:rPr>
                    <w:t>大竹堡乡</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482A8DED">
                  <w:pPr>
                    <w:pStyle w:val="5"/>
                    <w:ind w:left="225"/>
                    <w:jc w:val="center"/>
                  </w:pPr>
                  <w:r>
                    <w:rPr>
                      <w:rFonts w:ascii="仿宋_GB2312" w:hAnsi="仿宋_GB2312" w:eastAsia="仿宋_GB2312" w:cs="仿宋_GB2312"/>
                      <w:color w:val="000000"/>
                      <w:sz w:val="24"/>
                    </w:rPr>
                    <w:t>3</w:t>
                  </w:r>
                </w:p>
              </w:tc>
            </w:tr>
            <w:tr w14:paraId="74BE9E5C">
              <w:tblPrEx>
                <w:tblBorders>
                  <w:top w:val="none" w:color="000000" w:sz="4" w:space="0"/>
                  <w:left w:val="none" w:color="000000" w:sz="4" w:space="0"/>
                  <w:bottom w:val="none" w:color="000000" w:sz="4" w:space="0"/>
                  <w:right w:val="none" w:color="000000" w:sz="4" w:space="0"/>
                  <w:insideH w:val="none" w:color="auto" w:sz="0" w:space="0"/>
                  <w:insideV w:val="none" w:color="auto" w:sz="0" w:space="0"/>
                </w:tblBorders>
                <w:tblCellMar>
                  <w:top w:w="0" w:type="dxa"/>
                  <w:left w:w="108" w:type="dxa"/>
                  <w:bottom w:w="0" w:type="dxa"/>
                  <w:right w:w="108" w:type="dxa"/>
                </w:tblCellMar>
              </w:tblPrEx>
              <w:tc>
                <w:tcPr>
                  <w:tcW w:w="628" w:type="dxa"/>
                  <w:tcBorders>
                    <w:top w:val="nil"/>
                    <w:left w:val="single" w:color="000000" w:sz="4" w:space="0"/>
                    <w:bottom w:val="single" w:color="000000" w:sz="4" w:space="0"/>
                    <w:right w:val="single" w:color="000000" w:sz="4" w:space="0"/>
                  </w:tcBorders>
                  <w:tcMar>
                    <w:top w:w="15" w:type="dxa"/>
                    <w:left w:w="15" w:type="dxa"/>
                    <w:bottom w:w="15" w:type="dxa"/>
                    <w:right w:w="15" w:type="dxa"/>
                  </w:tcMar>
                  <w:vAlign w:val="top"/>
                </w:tcPr>
                <w:p w14:paraId="1C276239">
                  <w:pPr>
                    <w:pStyle w:val="5"/>
                    <w:jc w:val="both"/>
                  </w:pPr>
                  <w:r>
                    <w:rPr>
                      <w:rFonts w:ascii="仿宋_GB2312" w:hAnsi="仿宋_GB2312" w:eastAsia="仿宋_GB2312" w:cs="仿宋_GB2312"/>
                      <w:color w:val="000000"/>
                      <w:sz w:val="24"/>
                    </w:rPr>
                    <w:t>合计</w:t>
                  </w:r>
                </w:p>
              </w:tc>
              <w:tc>
                <w:tcPr>
                  <w:tcW w:w="3314" w:type="dxa"/>
                  <w:tcBorders>
                    <w:top w:val="nil"/>
                    <w:left w:val="nil"/>
                    <w:bottom w:val="single" w:color="000000" w:sz="4" w:space="0"/>
                    <w:right w:val="single" w:color="000000" w:sz="4" w:space="0"/>
                  </w:tcBorders>
                  <w:tcMar>
                    <w:top w:w="15" w:type="dxa"/>
                    <w:left w:w="15" w:type="dxa"/>
                    <w:bottom w:w="15" w:type="dxa"/>
                    <w:right w:w="15" w:type="dxa"/>
                  </w:tcMar>
                  <w:vAlign w:val="top"/>
                </w:tcPr>
                <w:p w14:paraId="0568DC98">
                  <w:pPr>
                    <w:pStyle w:val="5"/>
                    <w:ind w:left="225"/>
                    <w:jc w:val="center"/>
                  </w:pPr>
                  <w:r>
                    <w:rPr>
                      <w:rFonts w:ascii="仿宋_GB2312" w:hAnsi="仿宋_GB2312" w:eastAsia="仿宋_GB2312" w:cs="仿宋_GB2312"/>
                      <w:color w:val="000000"/>
                      <w:sz w:val="24"/>
                    </w:rPr>
                    <w:t>15</w:t>
                  </w:r>
                </w:p>
              </w:tc>
              <w:tc>
                <w:tcPr>
                  <w:tcW w:w="1657" w:type="dxa"/>
                  <w:tcBorders>
                    <w:top w:val="nil"/>
                    <w:left w:val="nil"/>
                    <w:bottom w:val="single" w:color="000000" w:sz="4" w:space="0"/>
                    <w:right w:val="single" w:color="000000" w:sz="4" w:space="0"/>
                  </w:tcBorders>
                  <w:tcMar>
                    <w:top w:w="15" w:type="dxa"/>
                    <w:left w:w="15" w:type="dxa"/>
                    <w:bottom w:w="15" w:type="dxa"/>
                    <w:right w:w="15" w:type="dxa"/>
                  </w:tcMar>
                  <w:vAlign w:val="top"/>
                </w:tcPr>
                <w:p w14:paraId="27B23EDB">
                  <w:pPr>
                    <w:pStyle w:val="5"/>
                    <w:ind w:left="225"/>
                    <w:jc w:val="center"/>
                  </w:pPr>
                  <w:r>
                    <w:rPr>
                      <w:rFonts w:ascii="仿宋_GB2312" w:hAnsi="仿宋_GB2312" w:eastAsia="仿宋_GB2312" w:cs="仿宋_GB2312"/>
                      <w:color w:val="000000"/>
                      <w:sz w:val="24"/>
                    </w:rPr>
                    <w:t>113</w:t>
                  </w:r>
                </w:p>
              </w:tc>
            </w:tr>
          </w:tbl>
          <w:p w14:paraId="64B5BE76">
            <w:pPr>
              <w:pStyle w:val="5"/>
              <w:jc w:val="left"/>
            </w:pPr>
            <w:r>
              <w:rPr>
                <w:rFonts w:ascii="仿宋_GB2312" w:hAnsi="仿宋_GB2312" w:eastAsia="仿宋_GB2312" w:cs="仿宋_GB2312"/>
                <w:color w:val="000000"/>
                <w:sz w:val="21"/>
              </w:rPr>
              <w:t>运行线路总里程：村到乡镇运输总距离（往返）约3900km，乡镇到县城运输总距离（往返）约1180km，县城到乐山市焚烧处理厂运输总距离（往返）约380km，合计运输总距离（往返）约5460km（运输总距离以实际转运距离为准）。</w:t>
            </w:r>
          </w:p>
        </w:tc>
      </w:tr>
    </w:tbl>
    <w:p w14:paraId="4C206DFB">
      <w:pPr>
        <w:pStyle w:val="5"/>
        <w:jc w:val="left"/>
        <w:outlineLvl w:val="2"/>
      </w:pPr>
      <w:r>
        <w:rPr>
          <w:rFonts w:ascii="仿宋_GB2312" w:hAnsi="仿宋_GB2312" w:eastAsia="仿宋_GB2312" w:cs="仿宋_GB2312"/>
          <w:b/>
          <w:sz w:val="28"/>
        </w:rPr>
        <w:t>3.3.服务要求</w:t>
      </w:r>
    </w:p>
    <w:p w14:paraId="66432539">
      <w:pPr>
        <w:pStyle w:val="5"/>
        <w:jc w:val="left"/>
        <w:outlineLvl w:val="3"/>
      </w:pPr>
      <w:r>
        <w:rPr>
          <w:rFonts w:ascii="仿宋_GB2312" w:hAnsi="仿宋_GB2312" w:eastAsia="仿宋_GB2312" w:cs="仿宋_GB2312"/>
          <w:b/>
          <w:sz w:val="24"/>
        </w:rPr>
        <w:t>3.3.1.服务内容要求</w:t>
      </w:r>
    </w:p>
    <w:p w14:paraId="0C4F19C0">
      <w:pPr>
        <w:pStyle w:val="5"/>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2DF890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24A1DDA">
            <w:pPr>
              <w:pStyle w:val="5"/>
              <w:jc w:val="center"/>
            </w:pPr>
            <w:r>
              <w:rPr>
                <w:rFonts w:ascii="仿宋_GB2312" w:hAnsi="仿宋_GB2312" w:eastAsia="仿宋_GB2312" w:cs="仿宋_GB2312"/>
              </w:rPr>
              <w:t xml:space="preserve"> 序号</w:t>
            </w:r>
          </w:p>
        </w:tc>
        <w:tc>
          <w:tcPr>
            <w:tcW w:w="581" w:type="dxa"/>
          </w:tcPr>
          <w:p w14:paraId="004DB1D5">
            <w:pPr>
              <w:pStyle w:val="5"/>
              <w:jc w:val="center"/>
            </w:pPr>
            <w:r>
              <w:rPr>
                <w:rFonts w:ascii="仿宋_GB2312" w:hAnsi="仿宋_GB2312" w:eastAsia="仿宋_GB2312" w:cs="仿宋_GB2312"/>
              </w:rPr>
              <w:t xml:space="preserve"> 符号标识</w:t>
            </w:r>
          </w:p>
        </w:tc>
        <w:tc>
          <w:tcPr>
            <w:tcW w:w="1495" w:type="dxa"/>
          </w:tcPr>
          <w:p w14:paraId="3C2E2F01">
            <w:pPr>
              <w:pStyle w:val="5"/>
              <w:jc w:val="center"/>
            </w:pPr>
            <w:r>
              <w:rPr>
                <w:rFonts w:ascii="仿宋_GB2312" w:hAnsi="仿宋_GB2312" w:eastAsia="仿宋_GB2312" w:cs="仿宋_GB2312"/>
              </w:rPr>
              <w:t xml:space="preserve"> 服务要求名称</w:t>
            </w:r>
          </w:p>
        </w:tc>
        <w:tc>
          <w:tcPr>
            <w:tcW w:w="5814" w:type="dxa"/>
          </w:tcPr>
          <w:p w14:paraId="6628B8C7">
            <w:pPr>
              <w:pStyle w:val="5"/>
              <w:jc w:val="center"/>
            </w:pPr>
            <w:r>
              <w:rPr>
                <w:rFonts w:ascii="仿宋_GB2312" w:hAnsi="仿宋_GB2312" w:eastAsia="仿宋_GB2312" w:cs="仿宋_GB2312"/>
              </w:rPr>
              <w:t xml:space="preserve"> 服务要求内容</w:t>
            </w:r>
          </w:p>
        </w:tc>
      </w:tr>
      <w:tr w14:paraId="4B258F3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5" w:type="dxa"/>
            <w:gridSpan w:val="4"/>
          </w:tcPr>
          <w:p w14:paraId="02C7759B">
            <w:pPr>
              <w:pStyle w:val="5"/>
              <w:jc w:val="center"/>
            </w:pPr>
            <w:r>
              <w:rPr>
                <w:rFonts w:ascii="仿宋_GB2312" w:hAnsi="仿宋_GB2312" w:eastAsia="仿宋_GB2312" w:cs="仿宋_GB2312"/>
              </w:rPr>
              <w:t>无</w:t>
            </w:r>
          </w:p>
        </w:tc>
      </w:tr>
    </w:tbl>
    <w:p w14:paraId="72A88A28">
      <w:pPr>
        <w:pStyle w:val="5"/>
        <w:jc w:val="left"/>
        <w:outlineLvl w:val="3"/>
      </w:pPr>
      <w:r>
        <w:rPr>
          <w:rFonts w:ascii="仿宋_GB2312" w:hAnsi="仿宋_GB2312" w:eastAsia="仿宋_GB2312" w:cs="仿宋_GB2312"/>
          <w:b/>
          <w:sz w:val="24"/>
        </w:rPr>
        <w:t>3.3.2.商务要求</w:t>
      </w:r>
    </w:p>
    <w:p w14:paraId="4659BA6D">
      <w:pPr>
        <w:pStyle w:val="5"/>
        <w:jc w:val="left"/>
      </w:pPr>
      <w:r>
        <w:rPr>
          <w:rFonts w:ascii="仿宋_GB2312" w:hAnsi="仿宋_GB2312" w:eastAsia="仿宋_GB2312" w:cs="仿宋_GB2312"/>
        </w:rPr>
        <w:t>采购包1：</w:t>
      </w:r>
    </w:p>
    <w:tbl>
      <w:tblPr>
        <w:tblStyle w:val="2"/>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6"/>
        <w:gridCol w:w="581"/>
        <w:gridCol w:w="1495"/>
        <w:gridCol w:w="5814"/>
      </w:tblGrid>
      <w:tr w14:paraId="631032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5BC5DDD">
            <w:pPr>
              <w:pStyle w:val="5"/>
              <w:jc w:val="center"/>
            </w:pPr>
            <w:r>
              <w:rPr>
                <w:rFonts w:ascii="仿宋_GB2312" w:hAnsi="仿宋_GB2312" w:eastAsia="仿宋_GB2312" w:cs="仿宋_GB2312"/>
              </w:rPr>
              <w:t>序号</w:t>
            </w:r>
          </w:p>
        </w:tc>
        <w:tc>
          <w:tcPr>
            <w:tcW w:w="581" w:type="dxa"/>
          </w:tcPr>
          <w:p w14:paraId="3FEEF318">
            <w:pPr>
              <w:pStyle w:val="5"/>
              <w:jc w:val="center"/>
            </w:pPr>
            <w:r>
              <w:rPr>
                <w:rFonts w:ascii="仿宋_GB2312" w:hAnsi="仿宋_GB2312" w:eastAsia="仿宋_GB2312" w:cs="仿宋_GB2312"/>
              </w:rPr>
              <w:t>符号标识</w:t>
            </w:r>
          </w:p>
        </w:tc>
        <w:tc>
          <w:tcPr>
            <w:tcW w:w="1495" w:type="dxa"/>
          </w:tcPr>
          <w:p w14:paraId="5E983FAA">
            <w:pPr>
              <w:pStyle w:val="5"/>
              <w:jc w:val="center"/>
            </w:pPr>
            <w:r>
              <w:rPr>
                <w:rFonts w:ascii="仿宋_GB2312" w:hAnsi="仿宋_GB2312" w:eastAsia="仿宋_GB2312" w:cs="仿宋_GB2312"/>
              </w:rPr>
              <w:t>商务要求名称</w:t>
            </w:r>
          </w:p>
        </w:tc>
        <w:tc>
          <w:tcPr>
            <w:tcW w:w="5814" w:type="dxa"/>
          </w:tcPr>
          <w:p w14:paraId="379313FC">
            <w:pPr>
              <w:pStyle w:val="5"/>
              <w:jc w:val="center"/>
            </w:pPr>
            <w:r>
              <w:rPr>
                <w:rFonts w:ascii="仿宋_GB2312" w:hAnsi="仿宋_GB2312" w:eastAsia="仿宋_GB2312" w:cs="仿宋_GB2312"/>
              </w:rPr>
              <w:t>商务要求内容</w:t>
            </w:r>
          </w:p>
        </w:tc>
      </w:tr>
      <w:tr w14:paraId="5E07555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21B7DA00">
            <w:pPr>
              <w:pStyle w:val="5"/>
              <w:jc w:val="center"/>
            </w:pPr>
            <w:r>
              <w:rPr>
                <w:rFonts w:ascii="仿宋_GB2312" w:hAnsi="仿宋_GB2312" w:eastAsia="仿宋_GB2312" w:cs="仿宋_GB2312"/>
              </w:rPr>
              <w:t>1</w:t>
            </w:r>
          </w:p>
        </w:tc>
        <w:tc>
          <w:tcPr>
            <w:tcW w:w="581" w:type="dxa"/>
          </w:tcPr>
          <w:p w14:paraId="5B9A6C98">
            <w:pPr>
              <w:pStyle w:val="5"/>
              <w:jc w:val="center"/>
            </w:pPr>
            <w:r>
              <w:rPr>
                <w:rFonts w:ascii="仿宋_GB2312" w:hAnsi="仿宋_GB2312" w:eastAsia="仿宋_GB2312" w:cs="仿宋_GB2312"/>
              </w:rPr>
              <w:t>★</w:t>
            </w:r>
          </w:p>
        </w:tc>
        <w:tc>
          <w:tcPr>
            <w:tcW w:w="1495" w:type="dxa"/>
          </w:tcPr>
          <w:p w14:paraId="155FDE73">
            <w:pPr>
              <w:pStyle w:val="5"/>
              <w:jc w:val="left"/>
            </w:pPr>
            <w:r>
              <w:rPr>
                <w:rFonts w:ascii="仿宋_GB2312" w:hAnsi="仿宋_GB2312" w:eastAsia="仿宋_GB2312" w:cs="仿宋_GB2312"/>
              </w:rPr>
              <w:t>服务期限</w:t>
            </w:r>
          </w:p>
        </w:tc>
        <w:tc>
          <w:tcPr>
            <w:tcW w:w="5814" w:type="dxa"/>
          </w:tcPr>
          <w:p w14:paraId="3DEFFF1A">
            <w:pPr>
              <w:pStyle w:val="5"/>
              <w:jc w:val="left"/>
            </w:pPr>
            <w:r>
              <w:rPr>
                <w:rFonts w:ascii="仿宋_GB2312" w:hAnsi="仿宋_GB2312" w:eastAsia="仿宋_GB2312" w:cs="仿宋_GB2312"/>
              </w:rPr>
              <w:t>自合同签订之日起1095日</w:t>
            </w:r>
          </w:p>
        </w:tc>
      </w:tr>
      <w:tr w14:paraId="2F0CDD7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0CDAEB58">
            <w:pPr>
              <w:pStyle w:val="5"/>
              <w:jc w:val="center"/>
            </w:pPr>
            <w:r>
              <w:rPr>
                <w:rFonts w:ascii="仿宋_GB2312" w:hAnsi="仿宋_GB2312" w:eastAsia="仿宋_GB2312" w:cs="仿宋_GB2312"/>
              </w:rPr>
              <w:t>2</w:t>
            </w:r>
          </w:p>
        </w:tc>
        <w:tc>
          <w:tcPr>
            <w:tcW w:w="581" w:type="dxa"/>
          </w:tcPr>
          <w:p w14:paraId="04D34F3B">
            <w:pPr>
              <w:pStyle w:val="5"/>
              <w:jc w:val="center"/>
            </w:pPr>
            <w:r>
              <w:rPr>
                <w:rFonts w:ascii="仿宋_GB2312" w:hAnsi="仿宋_GB2312" w:eastAsia="仿宋_GB2312" w:cs="仿宋_GB2312"/>
              </w:rPr>
              <w:t>★</w:t>
            </w:r>
          </w:p>
        </w:tc>
        <w:tc>
          <w:tcPr>
            <w:tcW w:w="1495" w:type="dxa"/>
          </w:tcPr>
          <w:p w14:paraId="3D5A1147">
            <w:pPr>
              <w:pStyle w:val="5"/>
              <w:jc w:val="left"/>
            </w:pPr>
            <w:r>
              <w:rPr>
                <w:rFonts w:ascii="仿宋_GB2312" w:hAnsi="仿宋_GB2312" w:eastAsia="仿宋_GB2312" w:cs="仿宋_GB2312"/>
              </w:rPr>
              <w:t>服务地点</w:t>
            </w:r>
          </w:p>
        </w:tc>
        <w:tc>
          <w:tcPr>
            <w:tcW w:w="5814" w:type="dxa"/>
          </w:tcPr>
          <w:p w14:paraId="336AD3D3">
            <w:pPr>
              <w:pStyle w:val="5"/>
              <w:jc w:val="left"/>
            </w:pPr>
            <w:r>
              <w:rPr>
                <w:rFonts w:ascii="仿宋_GB2312" w:hAnsi="仿宋_GB2312" w:eastAsia="仿宋_GB2312" w:cs="仿宋_GB2312"/>
              </w:rPr>
              <w:t>马边彝族自治县境内</w:t>
            </w:r>
          </w:p>
        </w:tc>
      </w:tr>
      <w:tr w14:paraId="5CF0D6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EA6C7EC">
            <w:pPr>
              <w:pStyle w:val="5"/>
              <w:jc w:val="center"/>
            </w:pPr>
            <w:r>
              <w:rPr>
                <w:rFonts w:ascii="仿宋_GB2312" w:hAnsi="仿宋_GB2312" w:eastAsia="仿宋_GB2312" w:cs="仿宋_GB2312"/>
              </w:rPr>
              <w:t>3</w:t>
            </w:r>
          </w:p>
        </w:tc>
        <w:tc>
          <w:tcPr>
            <w:tcW w:w="581" w:type="dxa"/>
          </w:tcPr>
          <w:p w14:paraId="498452CE">
            <w:pPr>
              <w:pStyle w:val="5"/>
              <w:jc w:val="center"/>
            </w:pPr>
            <w:r>
              <w:rPr>
                <w:rFonts w:ascii="仿宋_GB2312" w:hAnsi="仿宋_GB2312" w:eastAsia="仿宋_GB2312" w:cs="仿宋_GB2312"/>
              </w:rPr>
              <w:t>★</w:t>
            </w:r>
          </w:p>
        </w:tc>
        <w:tc>
          <w:tcPr>
            <w:tcW w:w="1495" w:type="dxa"/>
          </w:tcPr>
          <w:p w14:paraId="45706587">
            <w:pPr>
              <w:pStyle w:val="5"/>
              <w:jc w:val="left"/>
            </w:pPr>
            <w:r>
              <w:rPr>
                <w:rFonts w:ascii="仿宋_GB2312" w:hAnsi="仿宋_GB2312" w:eastAsia="仿宋_GB2312" w:cs="仿宋_GB2312"/>
              </w:rPr>
              <w:t>验收、交付标准和方法</w:t>
            </w:r>
          </w:p>
        </w:tc>
        <w:tc>
          <w:tcPr>
            <w:tcW w:w="5814" w:type="dxa"/>
          </w:tcPr>
          <w:p w14:paraId="394B2A5E">
            <w:pPr>
              <w:pStyle w:val="5"/>
              <w:jc w:val="left"/>
            </w:pPr>
            <w:r>
              <w:rPr>
                <w:rFonts w:ascii="仿宋_GB2312" w:hAnsi="仿宋_GB2312" w:eastAsia="仿宋_GB2312" w:cs="仿宋_GB2312"/>
              </w:rPr>
              <w:t>本项目采购人将严格按照《财政部关于进一步加强政府采购需求和履约验收管理的指导意见》（财库〔2016〕205号）、乐山市财政局《乐山市政府购项目需求论证和履约验收管理实施细则》的通知（乐市财政采〔2018〕16号）及国家、地方和行业相关规定、招标文件、投标文件、承诺以及合同约定标准进行验收。</w:t>
            </w:r>
          </w:p>
        </w:tc>
      </w:tr>
      <w:tr w14:paraId="43A02B7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363828FF">
            <w:pPr>
              <w:pStyle w:val="5"/>
              <w:jc w:val="center"/>
            </w:pPr>
            <w:r>
              <w:rPr>
                <w:rFonts w:ascii="仿宋_GB2312" w:hAnsi="仿宋_GB2312" w:eastAsia="仿宋_GB2312" w:cs="仿宋_GB2312"/>
              </w:rPr>
              <w:t>4</w:t>
            </w:r>
          </w:p>
        </w:tc>
        <w:tc>
          <w:tcPr>
            <w:tcW w:w="581" w:type="dxa"/>
          </w:tcPr>
          <w:p w14:paraId="1197C683">
            <w:pPr>
              <w:pStyle w:val="5"/>
              <w:jc w:val="center"/>
            </w:pPr>
            <w:r>
              <w:rPr>
                <w:rFonts w:ascii="仿宋_GB2312" w:hAnsi="仿宋_GB2312" w:eastAsia="仿宋_GB2312" w:cs="仿宋_GB2312"/>
              </w:rPr>
              <w:t>★</w:t>
            </w:r>
          </w:p>
        </w:tc>
        <w:tc>
          <w:tcPr>
            <w:tcW w:w="1495" w:type="dxa"/>
          </w:tcPr>
          <w:p w14:paraId="170E5354">
            <w:pPr>
              <w:pStyle w:val="5"/>
              <w:jc w:val="left"/>
            </w:pPr>
            <w:r>
              <w:rPr>
                <w:rFonts w:ascii="仿宋_GB2312" w:hAnsi="仿宋_GB2312" w:eastAsia="仿宋_GB2312" w:cs="仿宋_GB2312"/>
              </w:rPr>
              <w:t>支付方式</w:t>
            </w:r>
          </w:p>
        </w:tc>
        <w:tc>
          <w:tcPr>
            <w:tcW w:w="5814" w:type="dxa"/>
          </w:tcPr>
          <w:p w14:paraId="11AB029F">
            <w:pPr>
              <w:pStyle w:val="5"/>
              <w:jc w:val="left"/>
            </w:pPr>
            <w:r>
              <w:rPr>
                <w:rFonts w:ascii="仿宋_GB2312" w:hAnsi="仿宋_GB2312" w:eastAsia="仿宋_GB2312" w:cs="仿宋_GB2312"/>
              </w:rPr>
              <w:t>分期付款</w:t>
            </w:r>
          </w:p>
        </w:tc>
      </w:tr>
      <w:tr w14:paraId="1DC38EB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70033707">
            <w:pPr>
              <w:pStyle w:val="5"/>
              <w:jc w:val="center"/>
            </w:pPr>
            <w:r>
              <w:rPr>
                <w:rFonts w:ascii="仿宋_GB2312" w:hAnsi="仿宋_GB2312" w:eastAsia="仿宋_GB2312" w:cs="仿宋_GB2312"/>
              </w:rPr>
              <w:t>5</w:t>
            </w:r>
          </w:p>
        </w:tc>
        <w:tc>
          <w:tcPr>
            <w:tcW w:w="581" w:type="dxa"/>
          </w:tcPr>
          <w:p w14:paraId="5511EF9A">
            <w:pPr>
              <w:pStyle w:val="5"/>
              <w:jc w:val="center"/>
            </w:pPr>
            <w:r>
              <w:rPr>
                <w:rFonts w:ascii="仿宋_GB2312" w:hAnsi="仿宋_GB2312" w:eastAsia="仿宋_GB2312" w:cs="仿宋_GB2312"/>
              </w:rPr>
              <w:t>★</w:t>
            </w:r>
          </w:p>
        </w:tc>
        <w:tc>
          <w:tcPr>
            <w:tcW w:w="1495" w:type="dxa"/>
          </w:tcPr>
          <w:p w14:paraId="36844796">
            <w:pPr>
              <w:pStyle w:val="5"/>
              <w:jc w:val="left"/>
            </w:pPr>
            <w:r>
              <w:rPr>
                <w:rFonts w:ascii="仿宋_GB2312" w:hAnsi="仿宋_GB2312" w:eastAsia="仿宋_GB2312" w:cs="仿宋_GB2312"/>
              </w:rPr>
              <w:t>付款进度安排</w:t>
            </w:r>
          </w:p>
        </w:tc>
        <w:tc>
          <w:tcPr>
            <w:tcW w:w="5814" w:type="dxa"/>
          </w:tcPr>
          <w:p w14:paraId="3B220DAC">
            <w:pPr>
              <w:pStyle w:val="5"/>
              <w:jc w:val="left"/>
            </w:pPr>
            <w:r>
              <w:rPr>
                <w:rFonts w:ascii="仿宋_GB2312" w:hAnsi="仿宋_GB2312" w:eastAsia="仿宋_GB2312" w:cs="仿宋_GB2312"/>
              </w:rPr>
              <w:t>1、按月付款，达到付款条件起10日内，支付合同总金额的2.77%</w:t>
            </w:r>
          </w:p>
          <w:p w14:paraId="77E21331">
            <w:pPr>
              <w:pStyle w:val="5"/>
              <w:jc w:val="left"/>
            </w:pPr>
            <w:r>
              <w:rPr>
                <w:rFonts w:ascii="仿宋_GB2312" w:hAnsi="仿宋_GB2312" w:eastAsia="仿宋_GB2312" w:cs="仿宋_GB2312"/>
              </w:rPr>
              <w:t>2、按月付款，达到付款条件起10日内，支付合同总金额的2.77%</w:t>
            </w:r>
          </w:p>
          <w:p w14:paraId="7B69551E">
            <w:pPr>
              <w:pStyle w:val="5"/>
              <w:jc w:val="left"/>
            </w:pPr>
            <w:r>
              <w:rPr>
                <w:rFonts w:ascii="仿宋_GB2312" w:hAnsi="仿宋_GB2312" w:eastAsia="仿宋_GB2312" w:cs="仿宋_GB2312"/>
              </w:rPr>
              <w:t>3、按月付款，达到付款条件起10日内，支付合同总金额的2.77%</w:t>
            </w:r>
          </w:p>
          <w:p w14:paraId="18F58C20">
            <w:pPr>
              <w:pStyle w:val="5"/>
              <w:jc w:val="left"/>
            </w:pPr>
            <w:r>
              <w:rPr>
                <w:rFonts w:ascii="仿宋_GB2312" w:hAnsi="仿宋_GB2312" w:eastAsia="仿宋_GB2312" w:cs="仿宋_GB2312"/>
              </w:rPr>
              <w:t>4、按月付款，达到付款条件起10日内，支付合同总金额的2.77%</w:t>
            </w:r>
          </w:p>
          <w:p w14:paraId="323DA6AF">
            <w:pPr>
              <w:pStyle w:val="5"/>
              <w:jc w:val="left"/>
            </w:pPr>
            <w:r>
              <w:rPr>
                <w:rFonts w:ascii="仿宋_GB2312" w:hAnsi="仿宋_GB2312" w:eastAsia="仿宋_GB2312" w:cs="仿宋_GB2312"/>
              </w:rPr>
              <w:t>5、按月付款，达到付款条件起10日内，支付合同总金额的2.77%</w:t>
            </w:r>
          </w:p>
          <w:p w14:paraId="701EB912">
            <w:pPr>
              <w:pStyle w:val="5"/>
              <w:jc w:val="left"/>
            </w:pPr>
            <w:r>
              <w:rPr>
                <w:rFonts w:ascii="仿宋_GB2312" w:hAnsi="仿宋_GB2312" w:eastAsia="仿宋_GB2312" w:cs="仿宋_GB2312"/>
              </w:rPr>
              <w:t>6、按月付款，达到付款条件起10日内，支付合同总金额的2.77%</w:t>
            </w:r>
          </w:p>
          <w:p w14:paraId="307EF28D">
            <w:pPr>
              <w:pStyle w:val="5"/>
              <w:jc w:val="left"/>
            </w:pPr>
            <w:r>
              <w:rPr>
                <w:rFonts w:ascii="仿宋_GB2312" w:hAnsi="仿宋_GB2312" w:eastAsia="仿宋_GB2312" w:cs="仿宋_GB2312"/>
              </w:rPr>
              <w:t>7、按月付款，达到付款条件起10日内，支付合同总金额的2.77%</w:t>
            </w:r>
          </w:p>
          <w:p w14:paraId="088D0D41">
            <w:pPr>
              <w:pStyle w:val="5"/>
              <w:jc w:val="left"/>
            </w:pPr>
            <w:r>
              <w:rPr>
                <w:rFonts w:ascii="仿宋_GB2312" w:hAnsi="仿宋_GB2312" w:eastAsia="仿宋_GB2312" w:cs="仿宋_GB2312"/>
              </w:rPr>
              <w:t>8、按月付款，达到付款条件起10日内，支付合同总金额的2.77%</w:t>
            </w:r>
          </w:p>
          <w:p w14:paraId="321CDE0E">
            <w:pPr>
              <w:pStyle w:val="5"/>
              <w:jc w:val="left"/>
            </w:pPr>
            <w:r>
              <w:rPr>
                <w:rFonts w:ascii="仿宋_GB2312" w:hAnsi="仿宋_GB2312" w:eastAsia="仿宋_GB2312" w:cs="仿宋_GB2312"/>
              </w:rPr>
              <w:t>9、按月付款，达到付款条件起10日内，支付合同总金额的2.77%</w:t>
            </w:r>
          </w:p>
          <w:p w14:paraId="0CBE6B2E">
            <w:pPr>
              <w:pStyle w:val="5"/>
              <w:jc w:val="left"/>
            </w:pPr>
            <w:r>
              <w:rPr>
                <w:rFonts w:ascii="仿宋_GB2312" w:hAnsi="仿宋_GB2312" w:eastAsia="仿宋_GB2312" w:cs="仿宋_GB2312"/>
              </w:rPr>
              <w:t>10、按月付款，达到付款条件起10日内，支付合同总金额的2.77%</w:t>
            </w:r>
          </w:p>
          <w:p w14:paraId="55B42108">
            <w:pPr>
              <w:pStyle w:val="5"/>
              <w:jc w:val="left"/>
            </w:pPr>
            <w:r>
              <w:rPr>
                <w:rFonts w:ascii="仿宋_GB2312" w:hAnsi="仿宋_GB2312" w:eastAsia="仿宋_GB2312" w:cs="仿宋_GB2312"/>
              </w:rPr>
              <w:t>11、按月付款，达到付款条件起10日内，支付合同总金额的2.77%</w:t>
            </w:r>
          </w:p>
          <w:p w14:paraId="7F0926AE">
            <w:pPr>
              <w:pStyle w:val="5"/>
              <w:jc w:val="left"/>
            </w:pPr>
            <w:r>
              <w:rPr>
                <w:rFonts w:ascii="仿宋_GB2312" w:hAnsi="仿宋_GB2312" w:eastAsia="仿宋_GB2312" w:cs="仿宋_GB2312"/>
              </w:rPr>
              <w:t>12、按月付款，达到付款条件起10日内，支付合同总金额的2.77%</w:t>
            </w:r>
          </w:p>
          <w:p w14:paraId="1AA0853B">
            <w:pPr>
              <w:pStyle w:val="5"/>
              <w:jc w:val="left"/>
            </w:pPr>
            <w:r>
              <w:rPr>
                <w:rFonts w:ascii="仿宋_GB2312" w:hAnsi="仿宋_GB2312" w:eastAsia="仿宋_GB2312" w:cs="仿宋_GB2312"/>
              </w:rPr>
              <w:t>13、按月付款，达到付款条件起10日内，支付合同总金额的2.77%</w:t>
            </w:r>
          </w:p>
          <w:p w14:paraId="4681B13C">
            <w:pPr>
              <w:pStyle w:val="5"/>
              <w:jc w:val="left"/>
            </w:pPr>
            <w:r>
              <w:rPr>
                <w:rFonts w:ascii="仿宋_GB2312" w:hAnsi="仿宋_GB2312" w:eastAsia="仿宋_GB2312" w:cs="仿宋_GB2312"/>
              </w:rPr>
              <w:t>14、按月付款，达到付款条件起10日内，支付合同总金额的2.77%</w:t>
            </w:r>
          </w:p>
          <w:p w14:paraId="7A5FE326">
            <w:pPr>
              <w:pStyle w:val="5"/>
              <w:jc w:val="left"/>
            </w:pPr>
            <w:r>
              <w:rPr>
                <w:rFonts w:ascii="仿宋_GB2312" w:hAnsi="仿宋_GB2312" w:eastAsia="仿宋_GB2312" w:cs="仿宋_GB2312"/>
              </w:rPr>
              <w:t>15、按月付款，达到付款条件起10日内，支付合同总金额的2.77%</w:t>
            </w:r>
          </w:p>
          <w:p w14:paraId="07EAB330">
            <w:pPr>
              <w:pStyle w:val="5"/>
              <w:jc w:val="left"/>
            </w:pPr>
            <w:r>
              <w:rPr>
                <w:rFonts w:ascii="仿宋_GB2312" w:hAnsi="仿宋_GB2312" w:eastAsia="仿宋_GB2312" w:cs="仿宋_GB2312"/>
              </w:rPr>
              <w:t>16、按月付款，达到付款条件起10日内，支付合同总金额的2.77%</w:t>
            </w:r>
          </w:p>
          <w:p w14:paraId="6B683ABD">
            <w:pPr>
              <w:pStyle w:val="5"/>
              <w:jc w:val="left"/>
            </w:pPr>
            <w:r>
              <w:rPr>
                <w:rFonts w:ascii="仿宋_GB2312" w:hAnsi="仿宋_GB2312" w:eastAsia="仿宋_GB2312" w:cs="仿宋_GB2312"/>
              </w:rPr>
              <w:t>17、按月付款，达到付款条件起10日内，支付合同总金额的2.77%</w:t>
            </w:r>
          </w:p>
          <w:p w14:paraId="37034712">
            <w:pPr>
              <w:pStyle w:val="5"/>
              <w:jc w:val="left"/>
            </w:pPr>
            <w:r>
              <w:rPr>
                <w:rFonts w:ascii="仿宋_GB2312" w:hAnsi="仿宋_GB2312" w:eastAsia="仿宋_GB2312" w:cs="仿宋_GB2312"/>
              </w:rPr>
              <w:t>18、按月付款，达到付款条件起10日内，支付合同总金额的2.77%</w:t>
            </w:r>
          </w:p>
          <w:p w14:paraId="0B42E370">
            <w:pPr>
              <w:pStyle w:val="5"/>
              <w:jc w:val="left"/>
            </w:pPr>
            <w:r>
              <w:rPr>
                <w:rFonts w:ascii="仿宋_GB2312" w:hAnsi="仿宋_GB2312" w:eastAsia="仿宋_GB2312" w:cs="仿宋_GB2312"/>
              </w:rPr>
              <w:t>19、按月付款，达到付款条件起10日内，支付合同总金额的2.77%</w:t>
            </w:r>
          </w:p>
          <w:p w14:paraId="0DCF630E">
            <w:pPr>
              <w:pStyle w:val="5"/>
              <w:jc w:val="left"/>
            </w:pPr>
            <w:r>
              <w:rPr>
                <w:rFonts w:ascii="仿宋_GB2312" w:hAnsi="仿宋_GB2312" w:eastAsia="仿宋_GB2312" w:cs="仿宋_GB2312"/>
              </w:rPr>
              <w:t>20、按月付款，达到付款条件起10日内，支付合同总金额的2.77%</w:t>
            </w:r>
          </w:p>
          <w:p w14:paraId="548AAB35">
            <w:pPr>
              <w:pStyle w:val="5"/>
              <w:jc w:val="left"/>
            </w:pPr>
            <w:r>
              <w:rPr>
                <w:rFonts w:ascii="仿宋_GB2312" w:hAnsi="仿宋_GB2312" w:eastAsia="仿宋_GB2312" w:cs="仿宋_GB2312"/>
              </w:rPr>
              <w:t>21、按月付款，达到付款条件起10日内，支付合同总金额的2.77%</w:t>
            </w:r>
          </w:p>
          <w:p w14:paraId="0DE611F0">
            <w:pPr>
              <w:pStyle w:val="5"/>
              <w:jc w:val="left"/>
            </w:pPr>
            <w:r>
              <w:rPr>
                <w:rFonts w:ascii="仿宋_GB2312" w:hAnsi="仿宋_GB2312" w:eastAsia="仿宋_GB2312" w:cs="仿宋_GB2312"/>
              </w:rPr>
              <w:t>22、按月付款，达到付款条件起10日内，支付合同总金额的2.77%</w:t>
            </w:r>
          </w:p>
          <w:p w14:paraId="2BC89A16">
            <w:pPr>
              <w:pStyle w:val="5"/>
              <w:jc w:val="left"/>
            </w:pPr>
            <w:r>
              <w:rPr>
                <w:rFonts w:ascii="仿宋_GB2312" w:hAnsi="仿宋_GB2312" w:eastAsia="仿宋_GB2312" w:cs="仿宋_GB2312"/>
              </w:rPr>
              <w:t>23、按月付款，达到付款条件起10日内，支付合同总金额的2.77%</w:t>
            </w:r>
          </w:p>
          <w:p w14:paraId="42635F67">
            <w:pPr>
              <w:pStyle w:val="5"/>
              <w:jc w:val="left"/>
            </w:pPr>
            <w:r>
              <w:rPr>
                <w:rFonts w:ascii="仿宋_GB2312" w:hAnsi="仿宋_GB2312" w:eastAsia="仿宋_GB2312" w:cs="仿宋_GB2312"/>
              </w:rPr>
              <w:t>24、按月付款，达到付款条件起10日内，支付合同总金额的2.77%</w:t>
            </w:r>
          </w:p>
          <w:p w14:paraId="36B51FC7">
            <w:pPr>
              <w:pStyle w:val="5"/>
              <w:jc w:val="left"/>
            </w:pPr>
            <w:r>
              <w:rPr>
                <w:rFonts w:ascii="仿宋_GB2312" w:hAnsi="仿宋_GB2312" w:eastAsia="仿宋_GB2312" w:cs="仿宋_GB2312"/>
              </w:rPr>
              <w:t>25、按月付款，达到付款条件起10日内，支付合同总金额的2.77%</w:t>
            </w:r>
          </w:p>
          <w:p w14:paraId="3A5D1060">
            <w:pPr>
              <w:pStyle w:val="5"/>
              <w:jc w:val="left"/>
            </w:pPr>
            <w:r>
              <w:rPr>
                <w:rFonts w:ascii="仿宋_GB2312" w:hAnsi="仿宋_GB2312" w:eastAsia="仿宋_GB2312" w:cs="仿宋_GB2312"/>
              </w:rPr>
              <w:t>26、按月付款，达到付款条件起10日内，支付合同总金额的2.77%</w:t>
            </w:r>
          </w:p>
          <w:p w14:paraId="77ABA969">
            <w:pPr>
              <w:pStyle w:val="5"/>
              <w:jc w:val="left"/>
            </w:pPr>
            <w:r>
              <w:rPr>
                <w:rFonts w:ascii="仿宋_GB2312" w:hAnsi="仿宋_GB2312" w:eastAsia="仿宋_GB2312" w:cs="仿宋_GB2312"/>
              </w:rPr>
              <w:t>27、按月付款，达到付款条件起10日内，支付合同总金额的2.77%</w:t>
            </w:r>
          </w:p>
          <w:p w14:paraId="74216CCA">
            <w:pPr>
              <w:pStyle w:val="5"/>
              <w:jc w:val="left"/>
            </w:pPr>
            <w:r>
              <w:rPr>
                <w:rFonts w:ascii="仿宋_GB2312" w:hAnsi="仿宋_GB2312" w:eastAsia="仿宋_GB2312" w:cs="仿宋_GB2312"/>
              </w:rPr>
              <w:t>28、按月付款，达到付款条件起10日内，支付合同总金额的2.77%</w:t>
            </w:r>
          </w:p>
          <w:p w14:paraId="01169D4C">
            <w:pPr>
              <w:pStyle w:val="5"/>
              <w:jc w:val="left"/>
            </w:pPr>
            <w:r>
              <w:rPr>
                <w:rFonts w:ascii="仿宋_GB2312" w:hAnsi="仿宋_GB2312" w:eastAsia="仿宋_GB2312" w:cs="仿宋_GB2312"/>
              </w:rPr>
              <w:t>29、按月付款，达到付款条件起10日内，支付合同总金额的2.77%</w:t>
            </w:r>
          </w:p>
          <w:p w14:paraId="68B56447">
            <w:pPr>
              <w:pStyle w:val="5"/>
              <w:jc w:val="left"/>
            </w:pPr>
            <w:r>
              <w:rPr>
                <w:rFonts w:ascii="仿宋_GB2312" w:hAnsi="仿宋_GB2312" w:eastAsia="仿宋_GB2312" w:cs="仿宋_GB2312"/>
              </w:rPr>
              <w:t>30、按月付款，达到付款条件起10日内，支付合同总金额的2.77%</w:t>
            </w:r>
          </w:p>
          <w:p w14:paraId="3888506A">
            <w:pPr>
              <w:pStyle w:val="5"/>
              <w:jc w:val="left"/>
            </w:pPr>
            <w:r>
              <w:rPr>
                <w:rFonts w:ascii="仿宋_GB2312" w:hAnsi="仿宋_GB2312" w:eastAsia="仿宋_GB2312" w:cs="仿宋_GB2312"/>
              </w:rPr>
              <w:t>31、按月付款，达到付款条件起10日内，支付合同总金额的2.77%</w:t>
            </w:r>
          </w:p>
          <w:p w14:paraId="73A49F8C">
            <w:pPr>
              <w:pStyle w:val="5"/>
              <w:jc w:val="left"/>
            </w:pPr>
            <w:r>
              <w:rPr>
                <w:rFonts w:ascii="仿宋_GB2312" w:hAnsi="仿宋_GB2312" w:eastAsia="仿宋_GB2312" w:cs="仿宋_GB2312"/>
              </w:rPr>
              <w:t>32、按月付款，达到付款条件起10日内，支付合同总金额的2.77%</w:t>
            </w:r>
          </w:p>
          <w:p w14:paraId="3636B293">
            <w:pPr>
              <w:pStyle w:val="5"/>
              <w:jc w:val="left"/>
            </w:pPr>
            <w:r>
              <w:rPr>
                <w:rFonts w:ascii="仿宋_GB2312" w:hAnsi="仿宋_GB2312" w:eastAsia="仿宋_GB2312" w:cs="仿宋_GB2312"/>
              </w:rPr>
              <w:t>33、按月付款，达到付款条件起10日内，支付合同总金额的2.77%</w:t>
            </w:r>
          </w:p>
          <w:p w14:paraId="26EFCEC7">
            <w:pPr>
              <w:pStyle w:val="5"/>
              <w:jc w:val="left"/>
            </w:pPr>
            <w:r>
              <w:rPr>
                <w:rFonts w:ascii="仿宋_GB2312" w:hAnsi="仿宋_GB2312" w:eastAsia="仿宋_GB2312" w:cs="仿宋_GB2312"/>
              </w:rPr>
              <w:t>34、按月付款，达到付款条件起10日内，支付合同总金额的2.77%</w:t>
            </w:r>
          </w:p>
          <w:p w14:paraId="2B10310C">
            <w:pPr>
              <w:pStyle w:val="5"/>
              <w:jc w:val="left"/>
            </w:pPr>
            <w:r>
              <w:rPr>
                <w:rFonts w:ascii="仿宋_GB2312" w:hAnsi="仿宋_GB2312" w:eastAsia="仿宋_GB2312" w:cs="仿宋_GB2312"/>
              </w:rPr>
              <w:t>35、按月付款，达到付款条件起10日内，支付合同总金额的2.77%</w:t>
            </w:r>
          </w:p>
          <w:p w14:paraId="7D3BA755">
            <w:pPr>
              <w:pStyle w:val="5"/>
              <w:jc w:val="left"/>
            </w:pPr>
            <w:r>
              <w:rPr>
                <w:rFonts w:ascii="仿宋_GB2312" w:hAnsi="仿宋_GB2312" w:eastAsia="仿宋_GB2312" w:cs="仿宋_GB2312"/>
              </w:rPr>
              <w:t>36、按月付款，达到付款条件起10日内，支付合同总金额的3.05%</w:t>
            </w:r>
          </w:p>
        </w:tc>
      </w:tr>
      <w:tr w14:paraId="21D9351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 w:type="dxa"/>
          </w:tcPr>
          <w:p w14:paraId="12AFDCC2">
            <w:pPr>
              <w:pStyle w:val="5"/>
              <w:jc w:val="center"/>
            </w:pPr>
            <w:r>
              <w:rPr>
                <w:rFonts w:ascii="仿宋_GB2312" w:hAnsi="仿宋_GB2312" w:eastAsia="仿宋_GB2312" w:cs="仿宋_GB2312"/>
              </w:rPr>
              <w:t>6</w:t>
            </w:r>
          </w:p>
        </w:tc>
        <w:tc>
          <w:tcPr>
            <w:tcW w:w="581" w:type="dxa"/>
          </w:tcPr>
          <w:p w14:paraId="10D2E3A9">
            <w:pPr>
              <w:pStyle w:val="5"/>
              <w:jc w:val="center"/>
            </w:pPr>
            <w:r>
              <w:rPr>
                <w:rFonts w:ascii="仿宋_GB2312" w:hAnsi="仿宋_GB2312" w:eastAsia="仿宋_GB2312" w:cs="仿宋_GB2312"/>
              </w:rPr>
              <w:t>★</w:t>
            </w:r>
          </w:p>
        </w:tc>
        <w:tc>
          <w:tcPr>
            <w:tcW w:w="1495" w:type="dxa"/>
          </w:tcPr>
          <w:p w14:paraId="1646C41A">
            <w:pPr>
              <w:pStyle w:val="5"/>
              <w:jc w:val="left"/>
            </w:pPr>
            <w:r>
              <w:rPr>
                <w:rFonts w:ascii="仿宋_GB2312" w:hAnsi="仿宋_GB2312" w:eastAsia="仿宋_GB2312" w:cs="仿宋_GB2312"/>
              </w:rPr>
              <w:t>违约责任与解决争议的方法</w:t>
            </w:r>
          </w:p>
        </w:tc>
        <w:tc>
          <w:tcPr>
            <w:tcW w:w="5814" w:type="dxa"/>
          </w:tcPr>
          <w:p w14:paraId="62563AA6">
            <w:pPr>
              <w:pStyle w:val="5"/>
              <w:jc w:val="left"/>
            </w:pPr>
            <w:r>
              <w:rPr>
                <w:rFonts w:ascii="仿宋_GB2312" w:hAnsi="仿宋_GB2312" w:eastAsia="仿宋_GB2312" w:cs="仿宋_GB2312"/>
              </w:rPr>
              <w:t>一、违约责任 （1）采购人及投标人双方必须遵守采购合同并执行合同中的各项规定，保证采购合同的正常履行。任何一方违约给对方造成的直接损失均负有赔偿责任，对方均有权视情况要求对方继续履行合同或提出解除合同。 （2）如因投标人在履行过程中的疏忽、失职、过错等故意或者过失原因给采购人造成损失或侵害，包括但不限于采购人本身的财产损失、由此而导致的采购人对任何第三方的法律责任等，投标人对此均应承担全部的赔偿责任。 （3）如投标人提交的成果达不到相关质量要求或未按采购人时间进度安排完成成果，采购人有权扣除合同支付金额和提出解除合同。 二、争议解决办法 （1）甲乙双方就本协议所产生的任何争议都应该进行友好协商，协商解决不成的，任何一方均可向采购人所在地的仲裁委员会申请仲裁或直接向采购人所在地有管辖权的人民法院提起诉讼。 （2）仲裁费或诉讼费应由败诉方承担。 （3）在仲裁或诉讼期间，除正在进行仲裁或诉讼的部分外，合同其他部分继续执行。</w:t>
            </w:r>
          </w:p>
        </w:tc>
      </w:tr>
    </w:tbl>
    <w:p w14:paraId="2C2B3E00">
      <w:pPr>
        <w:pStyle w:val="5"/>
        <w:jc w:val="left"/>
        <w:outlineLvl w:val="2"/>
      </w:pPr>
      <w:r>
        <w:rPr>
          <w:rFonts w:ascii="仿宋_GB2312" w:hAnsi="仿宋_GB2312" w:eastAsia="仿宋_GB2312" w:cs="仿宋_GB2312"/>
          <w:b/>
          <w:sz w:val="28"/>
        </w:rPr>
        <w:t>3.4.其他要求</w:t>
      </w:r>
    </w:p>
    <w:p w14:paraId="180DB6AC">
      <w:pPr>
        <w:pStyle w:val="5"/>
        <w:ind w:firstLine="480"/>
        <w:jc w:val="left"/>
      </w:pPr>
      <w:r>
        <w:rPr>
          <w:rFonts w:ascii="仿宋_GB2312" w:hAnsi="仿宋_GB2312" w:eastAsia="仿宋_GB2312" w:cs="仿宋_GB2312"/>
        </w:rPr>
        <w:t>采购包1：</w:t>
      </w:r>
    </w:p>
    <w:p w14:paraId="1103FCC7">
      <w:pPr>
        <w:pStyle w:val="5"/>
        <w:jc w:val="left"/>
      </w:pPr>
      <w:r>
        <w:rPr>
          <w:rFonts w:ascii="仿宋_GB2312" w:hAnsi="仿宋_GB2312" w:eastAsia="仿宋_GB2312" w:cs="仿宋_GB2312"/>
        </w:rPr>
        <w:t>1、本章所述内容与采购文件其他地方有不一致的，以此章表述为准。 2、本文件引用技术规范或标准若国家发布有更新的，按更新的技术规范或标准执行。3、付款进度安排特别说明：按中标金额除以36个月计算，结合每月考核分值付款，次月供应商按采购人要求提供正规税务发票,采购人以转账方式向供应商结算上月生活垃圾转运服务费。</w:t>
      </w:r>
    </w:p>
    <w:p w14:paraId="3AE23EC1">
      <w:pPr>
        <w:pStyle w:val="5"/>
        <w:jc w:val="left"/>
        <w:rPr>
          <w:rFonts w:hint="eastAsia" w:ascii="仿宋_GB2312" w:hAnsi="仿宋_GB2312" w:eastAsia="仿宋_GB2312" w:cs="仿宋_GB2312"/>
          <w:lang w:eastAsia="zh-CN"/>
        </w:rPr>
      </w:pP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53208E"/>
    <w:multiLevelType w:val="singleLevel"/>
    <w:tmpl w:val="0053208E"/>
    <w:lvl w:ilvl="0" w:tentative="0">
      <w:start w:val="1"/>
      <w:numFmt w:val="decimal"/>
      <w:lvlText w:val="%1."/>
      <w:lvlJc w:val="left"/>
      <w:pPr>
        <w:ind w:left="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395D43"/>
    <w:rsid w:val="360B0081"/>
    <w:rsid w:val="3C291E9C"/>
    <w:rsid w:val="536055D6"/>
    <w:rsid w:val="53AC03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5">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5646</Words>
  <Characters>5876</Characters>
  <Lines>0</Lines>
  <Paragraphs>0</Paragraphs>
  <TotalTime>1</TotalTime>
  <ScaleCrop>false</ScaleCrop>
  <LinksUpToDate>false</LinksUpToDate>
  <CharactersWithSpaces>5942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2025-03-28T02:14:00Z</dcterms:created>
  <dc:creator>Administrator</dc:creator>
  <cp:lastModifiedBy>啊喔呃</cp:lastModifiedBy>
  <dcterms:modified xsi:type="dcterms:W3CDTF">2025-04-02T07:18:17Z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eyJoZGlkIjoiMDU0M2NiYjg3MzY5MTkwMjgzZWVmN2UxYjdiMjM2YTMiLCJ1c2VySWQiOiI0NTA5MTA1MjgifQ==</vt:lpwstr>
  </property>
  <property fmtid="{D5CDD505-2E9C-101B-9397-08002B2CF9AE}" pid="4" name="ICV">
    <vt:lpwstr>503F42F255944C0E81FABAD36E704B6E_12</vt:lpwstr>
  </property>
</Properties>
</file>