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lang w:val="en-US" w:eastAsia="zh-CN"/>
        </w:rPr>
      </w:pPr>
      <w:r>
        <w:rPr>
          <w:rFonts w:hint="eastAsia"/>
          <w:sz w:val="28"/>
          <w:szCs w:val="28"/>
          <w:lang w:val="en-US" w:eastAsia="zh-CN"/>
        </w:rPr>
        <w:t>采购需求</w:t>
      </w:r>
      <w:bookmarkStart w:id="0" w:name="_GoBack"/>
      <w:bookmarkEnd w:id="0"/>
    </w:p>
    <w:p>
      <w:pPr>
        <w:rPr>
          <w:rFonts w:hint="eastAsia"/>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3.1.采购内容</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采购包预算金额（元）: 5,375,720.00</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采购包最高限价（元）: 5,375,720.00</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93"/>
        <w:gridCol w:w="1200"/>
        <w:gridCol w:w="1234"/>
        <w:gridCol w:w="1089"/>
        <w:gridCol w:w="1117"/>
        <w:gridCol w:w="584"/>
        <w:gridCol w:w="584"/>
        <w:gridCol w:w="584"/>
        <w:gridCol w:w="584"/>
        <w:gridCol w:w="538"/>
        <w:gridCol w:w="53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5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104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数量</w:t>
            </w:r>
            <w:r>
              <w:rPr>
                <w:rFonts w:ascii="宋体" w:hAnsi="宋体" w:eastAsia="宋体" w:cs="宋体"/>
                <w:b/>
                <w:bCs/>
                <w:kern w:val="0"/>
                <w:sz w:val="24"/>
                <w:szCs w:val="24"/>
                <w:bdr w:val="none" w:color="auto" w:sz="0" w:space="0"/>
                <w:lang w:val="en-US" w:eastAsia="zh-CN" w:bidi="ar"/>
              </w:rPr>
              <w:br w:type="textWrapping"/>
            </w:r>
            <w:r>
              <w:rPr>
                <w:rFonts w:ascii="宋体" w:hAnsi="宋体" w:eastAsia="宋体" w:cs="宋体"/>
                <w:b/>
                <w:bCs/>
                <w:kern w:val="0"/>
                <w:sz w:val="24"/>
                <w:szCs w:val="24"/>
                <w:bdr w:val="none" w:color="auto" w:sz="0" w:space="0"/>
                <w:lang w:val="en-US" w:eastAsia="zh-CN" w:bidi="ar"/>
              </w:rPr>
              <w:t>(计量单位)</w:t>
            </w:r>
          </w:p>
        </w:tc>
        <w:tc>
          <w:tcPr>
            <w:tcW w:w="104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标的金额 （元）</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所属行业</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是否涉及核心产品</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是否涉及采购进口产品</w:t>
            </w:r>
          </w:p>
        </w:tc>
        <w:tc>
          <w:tcPr>
            <w:tcW w:w="96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是否涉及强制采购节能产品</w:t>
            </w:r>
          </w:p>
        </w:tc>
        <w:tc>
          <w:tcPr>
            <w:tcW w:w="749"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是否涉及优先采购节能产品</w:t>
            </w:r>
          </w:p>
        </w:tc>
        <w:tc>
          <w:tcPr>
            <w:tcW w:w="75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是否涉及优先采购环境标志产品</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A02322500 急救和生命支持设备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血液透析装置</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8.00（台）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1,042,800.00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是</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A02322500 急救和生命支持设备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血液透析滤过装置</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4.00（台）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834,240.00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A02322500 急救和生命支持设备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血液透析用制水设备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391,050.00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4</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A02322800 消毒灭菌设备及器具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医用空气消毒机（挂式小）</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3.00（台）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18,249.00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5</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A02322800 消毒灭菌设备及器具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医用空气消毒机（挂式大）</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91,231.00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6</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A02320500 医用超声波仪器及设备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台式全数字彩色超声诊断系</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1.00（套）</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912,550.00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7</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A02320500 医用超声波仪器及设备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便携式彩超</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260,700.00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8</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A02321200 医用 X 线诊断设备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移动式平板C形臂X射线机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782,100.00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9</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A02320700 医用内窥镜</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电子胃肠镜</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right"/>
              <w:rPr>
                <w:sz w:val="24"/>
                <w:szCs w:val="24"/>
              </w:rPr>
            </w:pPr>
            <w:r>
              <w:rPr>
                <w:rFonts w:ascii="宋体" w:hAnsi="宋体" w:eastAsia="宋体" w:cs="宋体"/>
                <w:kern w:val="0"/>
                <w:sz w:val="24"/>
                <w:szCs w:val="24"/>
                <w:bdr w:val="none" w:color="auto" w:sz="0" w:space="0"/>
                <w:lang w:val="en-US" w:eastAsia="zh-CN" w:bidi="ar"/>
              </w:rPr>
              <w:t>1,042,800.00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工业</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否</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报价要求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60"/>
        <w:gridCol w:w="2272"/>
        <w:gridCol w:w="1348"/>
        <w:gridCol w:w="1256"/>
        <w:gridCol w:w="1047"/>
        <w:gridCol w:w="166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1221"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0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报价内容</w:t>
            </w:r>
          </w:p>
        </w:tc>
        <w:tc>
          <w:tcPr>
            <w:tcW w:w="135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数量（计量单位）</w:t>
            </w:r>
          </w:p>
        </w:tc>
        <w:tc>
          <w:tcPr>
            <w:tcW w:w="1628"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最高限价</w:t>
            </w:r>
          </w:p>
        </w:tc>
        <w:tc>
          <w:tcPr>
            <w:tcW w:w="1357"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价款形式</w:t>
            </w:r>
          </w:p>
        </w:tc>
        <w:tc>
          <w:tcPr>
            <w:tcW w:w="2308"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报价说明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血液透析装置</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8.00（台）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1,042,800.00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血液透析滤过装置</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4.00（台）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834,240.00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血液透析用制水设备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391,050.00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4</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医用空气消毒机（挂式小）</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18,249.00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5</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医用空气消毒机（挂式大）</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91,231.00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6</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台式全数字彩色超声诊断系</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1.00（套）</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912,550.00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7</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便携式彩超</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260,700.00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8</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移动式平板C形臂X射线机</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782,100.00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9</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电子胃肠镜</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1.00（台）</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1,042,800.00</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总价</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无</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★注：投标人响应产品应当明确品牌和规格型号并指向唯一产品，不能指向唯一产品的，应通过报价表唯一产品说明栏补充说明。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本项目涉及核心产品：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72"/>
        <w:gridCol w:w="2880"/>
        <w:gridCol w:w="2397"/>
        <w:gridCol w:w="239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99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A02322500 急救和生命支持设备</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血液透析装置</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血液透析装置</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注：涉及核心产品的，具体评审规定见第五章。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本项目涉及采购进口产品：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02"/>
        <w:gridCol w:w="2548"/>
        <w:gridCol w:w="2548"/>
        <w:gridCol w:w="254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99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不涉及</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★注：不涉及采购进口产品时，投标人不得提供进口产品进行响应；涉及采购进口产品时，如国产产品满足采购需求，也可提供国产产品进行响应。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本项目涉及强制采购节能产品：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02"/>
        <w:gridCol w:w="2548"/>
        <w:gridCol w:w="2548"/>
        <w:gridCol w:w="254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99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不涉及</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节能产品政府采购品目清单》中政府强制采购的产品，投标人应当提供由国家确定的认证机构出具的、处于有效期之内的节能产品认证证书的原件扫描件或“全国认证认可信息公共服务平台”（http://cx.cnca.cn）的认证信息截图，否则作无效投标处理。具体要求详见第五章符合性审查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本项目涉及优先采购节能产品：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02"/>
        <w:gridCol w:w="2548"/>
        <w:gridCol w:w="2548"/>
        <w:gridCol w:w="254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99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不涉及</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节能产品政府采购品目清单》中优先采购的产品，投标人提供由国家确定的认证机构出具的、处于有效期之内的节能产品认证证书的原件扫描件或“全国认证认可信息公共服务平台”（http://cx.cnca.cn）的认证信息截图，可以享受优先采购政策。具体要求详见第五章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本项目涉及优先采购环境标志产品：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02"/>
        <w:gridCol w:w="2548"/>
        <w:gridCol w:w="2548"/>
        <w:gridCol w:w="254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990"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采购品目名称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标的名称</w:t>
            </w:r>
          </w:p>
        </w:tc>
        <w:tc>
          <w:tcPr>
            <w:tcW w:w="2972"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产品名称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gridSpan w:val="4"/>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不涉及</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2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注：响应产品属于《环境标志产品政府采购品目清单》中的产品，投标人提供由国家确定的认证机构出具的、处于有效期之内的环境标志产品认证证书的原件扫描件或“全国认证认可信息公共服务平台”（http://cx.cnca.cn）的认证信息截图，可以享受优先采购政策。具体要求详见第五章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3.2.技术要求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标的名称：血液透析装置</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6"/>
        <w:gridCol w:w="563"/>
        <w:gridCol w:w="985"/>
        <w:gridCol w:w="651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（1）显示屏≥10.4英寸，可显示全部治疗数据；具有开机时全面的安全自检。</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（2）显示屏具有设备报警灯。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（3）采用密闭式容量平衡腔系统。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（4）具有化学消毒和热消毒功能，消毒脱钙一次完成；热消毒进水温度≥95℃。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（5）配液方式：先吸B液后吸A液，同时具有电导度反馈调节功能，透析液浓度和B液浓度可单独监测并控制，能对酸中毒患者有针对性治疗。</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（6）配备内置后备电源，全功能运行≥15分钟。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（7）具备透析充分性Kt/v监测装置。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（8）具有网络连接口，并开放网络接口。</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（9）▲机器内置的超滤曲线≥8+N种，即设备内置默认超滤曲线≥8种，并具有≥1种无程序变化可任意设定的连续曲线。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（10）▲具有肝素曲线。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（11）▲机身净高度（不含突起物和输液杆支架）≥1550mm。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（12）▲配备透析液过滤器支架，能产生高纯度的透析液，把内毒素感染的风险降到最低，且具有透析液过滤器。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（13）具有闹钟功能，可进行单次或周期性提醒，可设置提醒事项。</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（14）血泵流量：0，60～600ml/min。</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（15）肝素泵：0.1ml/h～9.9ml/h。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（16）动脉压力测量范围：-350mmHg～+500mmHg。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（17）静脉压力测量范围：-40mmHg～+350mmHg。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（18）跨膜压测量范围：-50mmHg～+650mmHg。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（19）透析液流量：300ml/min～700ml/min。</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（20）透析液温度：33-39℃。</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（21）超滤率范围：0～4000ml/h，脱水泵流量误差≤1%。</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（22）透析液电导率调节设定范围：12.6ms/cm～16.0ms/cm。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（23）肝素泵出口压力≥400mmHg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标的名称：血液透析滤过装置</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6"/>
        <w:gridCol w:w="562"/>
        <w:gridCol w:w="979"/>
        <w:gridCol w:w="65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（1）全触摸显示屏,屏幕尺寸≥15英寸。</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（2）屏幕可旋转，满足不同角度查看需求。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（3）显示屏幕配备设备报警灯，数量≥2个。</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（4）可在线生成冲洗液，无需生理盐水预冲。</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（5）可提供透析浓缩液、B联机干粉桶、A/B中央供配液系统满足多种供配液需求。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（6）具有“省液模式”。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（7）采用平衡腔超滤平衡系统。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（8）具有血液探测器传感器。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（9）配液方式：先吸B液后吸A液，同时具有电导度反馈调节功能，透析液浓度和B液浓度可单独监测并控制，能对酸中毒患者有针对性治疗。</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（10）设备内置默认超滤曲线≥8种，并具有≥1种无程序变化可任意设定的连续曲线。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（11）具有肝素曲线。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（12）标配透析充分性Kt/v监测装置。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（13）具有闹钟功能，可进行单次或周期性提醒，可设置提醒事项。</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（14）配备备用电池，可保证机器在停电断电状态下连续工作≥15分钟。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（15）机身净高度（不含突起物和输液杆支架）≥1550mm。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（16）血泵流量：0，60ml/min～600ml/min。</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（17）置换液泵流量：20ml/min～400ml/min。</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（18）肝素泵：0.1ml/h～10ml/h。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（19）动脉压力测量范围：-380mmHg～+390mmHg。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（20）静脉压力测量范围：-40mmHg～+380mmHg。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（21）▲跨膜压测量范围：-80mmHg～+660mmHg。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（22）空气监测：具有空气监测探测器。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（23）透析液流量：300ml/min～700ml/min。</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（24）透析液温度：33-40℃。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（25）▲超滤率范围：0～4000ml/h，脱水泵流量误差≤1%。</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（26）透析液电导率调节设定范围：12.6ms/cm～16.0ms/cm。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（27）配有透析液过滤器支架，可过滤透析液细菌及内毒素；具有与设备同品牌的透析液过滤器。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（28）具有化学消毒和热消毒功能，消毒脱钙一次完成，热消毒进水温度≥95℃。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（29）肝素泵出口压力≥400mmHg</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标的名称：血液透析用制水设备</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4"/>
        <w:gridCol w:w="521"/>
        <w:gridCol w:w="729"/>
        <w:gridCol w:w="681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300" w:firstLine="0"/>
              <w:jc w:val="left"/>
              <w:rPr>
                <w:sz w:val="24"/>
                <w:szCs w:val="24"/>
              </w:rPr>
            </w:pPr>
            <w:r>
              <w:rPr>
                <w:rFonts w:hint="eastAsia" w:ascii="宋体" w:hAnsi="宋体" w:eastAsia="宋体" w:cs="宋体"/>
                <w:sz w:val="24"/>
                <w:szCs w:val="24"/>
                <w:bdr w:val="none" w:color="auto" w:sz="0" w:space="0"/>
              </w:rPr>
              <w:t>（1)▲产水水质符合YY0572-2015《血液透析和相关治疗用水标准》:菌落数＜1CFU/m1,内毒素＜0.005EU/ml。</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（2)产水量:产水量≥2500L/H(原水温度25℃时)；</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（3)内毒素、细菌清除率≧99.9%,溶解盐清除率≧97%,自来水回收率≧75%。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（4)双级反渗透，一二级直接耦合，二级纯水直供。系统采取一二级全封闭直接对接方式，无任何中间存水装置;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（5)控制方式:可编程PLC控制器及配套全彩触摸屏人机界面组合、全自动运行；触摸式操作界面，能支持远程连接和监控</w:t>
            </w:r>
            <w:r>
              <w:rPr>
                <w:rStyle w:val="8"/>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（6)原水增压泵:不锈钢水泵，独立变频，压力变送器控制，全自动加压泵组件，能够保持不同流速时的压力稳定，带有低压不锈钢保护装置，可防止加压泵无水空转。</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7)预处理为多介质、活性炭、软化器组成，采用自动控制阀，罐体采用避光罐体≥2162；当系统运行，预处理发生时间错误，导致再生和冲洗时系统能自动关闭进水阀，出现报警并提示将预处理调整到正常工作位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（8)平衡器采用模拟量液位及智能流量调节阀、系统不采用浮球阀，根据用水量保证水箱液位正负值在20mm以内，并可以数值化显示。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（9)具有智能节水系统，回收率≥75%。</w:t>
            </w:r>
            <w:r>
              <w:rPr>
                <w:rStyle w:val="8"/>
                <w:rFonts w:hint="default" w:ascii="Times New Roman" w:hAnsi="Times New Roman" w:cs="Times New Roman"/>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（10)控制屏:全彩触摸屏≥10"，工艺过程及运行参数实时显示，自动累计工作时间和部件使用频率;</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（11)工作模式:多种工作模式、一二级可切换单独使用;采用有控制阀自动转换，无需手动调节</w:t>
            </w:r>
            <w:r>
              <w:rPr>
                <w:rStyle w:val="8"/>
                <w:rFonts w:hint="eastAsia" w:ascii="宋体" w:hAnsi="宋体" w:eastAsia="宋体" w:cs="宋体"/>
                <w:color w:val="E74C3C"/>
                <w:sz w:val="24"/>
                <w:szCs w:val="24"/>
                <w:bdr w:val="none" w:color="auto" w:sz="0" w:space="0"/>
              </w:rPr>
              <w:t>（投标时，须提供阀的合格电磁兼容报告复印件并加盖投标人鲜章）</w:t>
            </w:r>
            <w:r>
              <w:rPr>
                <w:rStyle w:val="8"/>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（12)抑菌功能:设备全自动运行，可设置周一到周日的自动开、停机时间，待机状态下系统管路自动冲洗功能;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（13)采用无死腔反渗透膜壳，上进上出，底端固定方式，使反渗透膜在运行时能实现全循环，避免反渗透膜细菌的滋生;</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（14)反渗透膜自动冲洗，间隔时间可调，开机、关机自动大流量冲洗，排出淤积水，同时运行中自动检测工作状况，随时进行冲洗，停用后，具有反渗透胜及管道自动冲洗功能。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（15)智能安全保护措施，密码进入操作界面，有运行温度/电导率显示和记录，具有记录高压泵、电动阀等部件使用程度的长期数据，以备运行状态分析所用同时自动保存;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（16)▲在线监测原水、一、二级纯水水质，具有数字化电导率系统及纯水水质超标报警功能，具有完善诊断监控机制:实时对设备运行的无水、压力、流量、水质、电源保护多种安全自锁功能</w:t>
            </w:r>
            <w:r>
              <w:rPr>
                <w:rStyle w:val="8"/>
                <w:rFonts w:hint="eastAsia" w:ascii="宋体" w:hAnsi="宋体" w:eastAsia="宋体" w:cs="宋体"/>
                <w:color w:val="E74C3C"/>
                <w:sz w:val="24"/>
                <w:szCs w:val="24"/>
                <w:bdr w:val="none" w:color="auto" w:sz="0" w:space="0"/>
              </w:rPr>
              <w:t>（投标时，须提供数字化电导率系统软件著作权登记证书复印件并加盖投标人鲜章）</w:t>
            </w:r>
            <w:r>
              <w:rPr>
                <w:rStyle w:val="8"/>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（17)▲消毒功能：化学消毒运行后具有提示功能，在线显示运行时间、并记录消毒液清洗运行时间，并可对消毒运行是否完整进行验证</w:t>
            </w:r>
            <w:r>
              <w:rPr>
                <w:rStyle w:val="8"/>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（18)▲故障报警的自检解决帮助功能、具备多种应急方案</w:t>
            </w:r>
            <w:r>
              <w:rPr>
                <w:rStyle w:val="8"/>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（19)热消毒装置：具备定时及一键式启动功能，能立即终止当前进程，进入清洗过程，热消毒预热、消毒、清洗的过程显示及系统温度的状态显示。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（20)</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内毒素过滤器：采用耐高温内毒素过滤器、可以联机热消毒。串联安装型，现有设备的配管直接安装连接。内毒素过滤装置细菌截留性能（LRV）≥9.6，内毒素截留性能（LRV）≥5；内毒素过滤器初期透水速度不小于1800L/H，可耐高温消毒；内毒素过滤器采用中空纤维膜、盖帽采用聚砜材质，粘着剂采用环氧系材质；过滤器外形尺寸不超过直径91mm，高581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（21)纯水供水采用无死腔大循环恒压供水，管路中应增加留样功能装置。供水管路采用不锈钢316卡压材质。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（21)高压泵采用水泵，不锈钢材质。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（22)采用8040型反渗透膜≥5支，其中一级≥3支，二级≥2支。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标的名称：医用空气消毒机（挂式小）</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91"/>
        <w:gridCol w:w="637"/>
        <w:gridCol w:w="1437"/>
        <w:gridCol w:w="598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（1）适用空间大于80m³：3台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（2）平板壁挂式；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（3)循环消毒风量：≥800m³/h；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（4)紫外线辐照强度（垂直距离灯管15cm处）：≥7.22×10</w:t>
            </w:r>
            <w:r>
              <w:rPr>
                <w:rFonts w:hint="eastAsia" w:ascii="宋体" w:hAnsi="宋体" w:eastAsia="宋体" w:cs="宋体"/>
                <w:sz w:val="18"/>
                <w:szCs w:val="18"/>
                <w:bdr w:val="none" w:color="auto" w:sz="0" w:space="0"/>
                <w:vertAlign w:val="baseline"/>
              </w:rPr>
              <w:t>3</w:t>
            </w:r>
            <w:r>
              <w:rPr>
                <w:rFonts w:hint="eastAsia" w:ascii="宋体" w:hAnsi="宋体" w:eastAsia="宋体" w:cs="宋体"/>
                <w:sz w:val="24"/>
                <w:szCs w:val="24"/>
                <w:bdr w:val="none" w:color="auto" w:sz="0" w:space="0"/>
              </w:rPr>
              <w:t>μW/cm</w:t>
            </w:r>
            <w:r>
              <w:rPr>
                <w:rFonts w:hint="eastAsia" w:ascii="宋体" w:hAnsi="宋体" w:eastAsia="宋体" w:cs="宋体"/>
                <w:sz w:val="18"/>
                <w:szCs w:val="18"/>
                <w:bdr w:val="none" w:color="auto" w:sz="0" w:space="0"/>
                <w:vertAlign w:val="baseline"/>
              </w:rPr>
              <w:t>2</w:t>
            </w:r>
            <w:r>
              <w:rPr>
                <w:sz w:val="24"/>
                <w:szCs w:val="24"/>
                <w:bdr w:val="none" w:color="auto" w:sz="0" w:space="0"/>
              </w:rPr>
              <w:t> </w:t>
            </w:r>
            <w:r>
              <w:rPr>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（5)消毒功率：≤410W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（6)紫外线管寿命：≥5000h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（7)紫外线泄漏量：＜5μW/cm</w:t>
            </w:r>
            <w:r>
              <w:rPr>
                <w:rFonts w:hint="eastAsia" w:ascii="宋体" w:hAnsi="宋体" w:eastAsia="宋体" w:cs="宋体"/>
                <w:sz w:val="18"/>
                <w:szCs w:val="18"/>
                <w:bdr w:val="none" w:color="auto" w:sz="0" w:space="0"/>
                <w:vertAlign w:val="baseline"/>
              </w:rPr>
              <w:t>2</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（8)消毒时空气中臭氧量：≤0.1mg/m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（9)负离子发生量：≥6×10</w:t>
            </w:r>
            <w:r>
              <w:rPr>
                <w:rFonts w:hint="eastAsia" w:ascii="宋体" w:hAnsi="宋体" w:eastAsia="宋体" w:cs="宋体"/>
                <w:sz w:val="18"/>
                <w:szCs w:val="18"/>
                <w:bdr w:val="none" w:color="auto" w:sz="0" w:space="0"/>
                <w:vertAlign w:val="baseline"/>
              </w:rPr>
              <w:t>6</w:t>
            </w:r>
            <w:r>
              <w:rPr>
                <w:rFonts w:hint="eastAsia" w:ascii="宋体" w:hAnsi="宋体" w:eastAsia="宋体" w:cs="宋体"/>
                <w:sz w:val="24"/>
                <w:szCs w:val="24"/>
                <w:bdr w:val="none" w:color="auto" w:sz="0" w:space="0"/>
              </w:rPr>
              <w:t>个/cm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（10)噪音：≤55dB(A)</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（11)消毒后空气中细菌总数：≤200cfu/m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（12)适用环境：人在动态环境、静态环境（开机状态下人机共存）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（13)安全防护类型：I类</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标的名称：医用空气消毒机（挂式大）</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92"/>
        <w:gridCol w:w="641"/>
        <w:gridCol w:w="1466"/>
        <w:gridCol w:w="594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（1）适用于空间大于120m³：10台；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（2）平板壁挂式；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（3)循环消毒风量：≥1200m³/h；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（4)紫外线辐照强度（垂直距离灯管15cm处）：7.84×10</w:t>
            </w:r>
            <w:r>
              <w:rPr>
                <w:rFonts w:hint="eastAsia" w:ascii="宋体" w:hAnsi="宋体" w:eastAsia="宋体" w:cs="宋体"/>
                <w:sz w:val="18"/>
                <w:szCs w:val="18"/>
                <w:bdr w:val="none" w:color="auto" w:sz="0" w:space="0"/>
                <w:vertAlign w:val="baseline"/>
              </w:rPr>
              <w:t>3</w:t>
            </w:r>
            <w:r>
              <w:rPr>
                <w:rFonts w:hint="eastAsia" w:ascii="宋体" w:hAnsi="宋体" w:eastAsia="宋体" w:cs="宋体"/>
                <w:sz w:val="24"/>
                <w:szCs w:val="24"/>
                <w:bdr w:val="none" w:color="auto" w:sz="0" w:space="0"/>
              </w:rPr>
              <w:t>μW/cm</w:t>
            </w:r>
            <w:r>
              <w:rPr>
                <w:rFonts w:hint="eastAsia" w:ascii="宋体" w:hAnsi="宋体" w:eastAsia="宋体" w:cs="宋体"/>
                <w:sz w:val="18"/>
                <w:szCs w:val="18"/>
                <w:bdr w:val="none" w:color="auto" w:sz="0" w:space="0"/>
                <w:vertAlign w:val="baseline"/>
              </w:rPr>
              <w:t>2</w:t>
            </w:r>
            <w:r>
              <w:rPr>
                <w:sz w:val="24"/>
                <w:szCs w:val="24"/>
                <w:bdr w:val="none" w:color="auto" w:sz="0" w:space="0"/>
              </w:rPr>
              <w:t> </w:t>
            </w:r>
            <w:r>
              <w:rPr>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（5)消毒功率：≤470W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（6)紫外线管寿命：≥5000h</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（7)紫外线泄漏量：＜5μW/cm</w:t>
            </w:r>
            <w:r>
              <w:rPr>
                <w:rFonts w:hint="eastAsia" w:ascii="宋体" w:hAnsi="宋体" w:eastAsia="宋体" w:cs="宋体"/>
                <w:sz w:val="18"/>
                <w:szCs w:val="18"/>
                <w:bdr w:val="none" w:color="auto" w:sz="0" w:space="0"/>
                <w:vertAlign w:val="baseline"/>
              </w:rPr>
              <w:t>2</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（8)消毒时空气中臭氧量：≤0.1mg/m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（9)负离子发生量：≥6×10</w:t>
            </w:r>
            <w:r>
              <w:rPr>
                <w:rFonts w:hint="eastAsia" w:ascii="宋体" w:hAnsi="宋体" w:eastAsia="宋体" w:cs="宋体"/>
                <w:sz w:val="18"/>
                <w:szCs w:val="18"/>
                <w:bdr w:val="none" w:color="auto" w:sz="0" w:space="0"/>
                <w:vertAlign w:val="baseline"/>
              </w:rPr>
              <w:t>6</w:t>
            </w:r>
            <w:r>
              <w:rPr>
                <w:rFonts w:hint="eastAsia" w:ascii="宋体" w:hAnsi="宋体" w:eastAsia="宋体" w:cs="宋体"/>
                <w:sz w:val="24"/>
                <w:szCs w:val="24"/>
                <w:bdr w:val="none" w:color="auto" w:sz="0" w:space="0"/>
              </w:rPr>
              <w:t>个/cm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（10)噪音：≤55dB(A)</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（11)消毒后空气中细菌总数：≤200cfu/m</w:t>
            </w:r>
            <w:r>
              <w:rPr>
                <w:rFonts w:hint="eastAsia" w:ascii="宋体" w:hAnsi="宋体" w:eastAsia="宋体" w:cs="宋体"/>
                <w:sz w:val="18"/>
                <w:szCs w:val="18"/>
                <w:bdr w:val="none" w:color="auto" w:sz="0" w:space="0"/>
                <w:vertAlign w:val="baseline"/>
              </w:rPr>
              <w:t>3</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（12)适用环境：人在动态环境、静态环境（开机状态下人机共存）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（13)安全防护类型：I类</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标的名称：台式全数字彩色超声诊断系</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5"/>
        <w:gridCol w:w="548"/>
        <w:gridCol w:w="893"/>
        <w:gridCol w:w="662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1.系统平台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（1）数字多波束形成器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（2）最大动态范围：≥280dB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（3）数字化二维灰阶成像单位及M型显示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（4）数字化彩色多普勒单元/能量多普勒单元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（5）组织二次谐波成像技术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（6）宽频带变频或全频探头技术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（7）智能一键优化操作：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（8）动态组织对比增强技术，可改善边界显示，提高分辨减少伪像，支持所有成像探头或动态核磁成像技术，多级可视可调，结合斑点抑制、边缘增强和对比度增强多种技术。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（9）</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具备空间复合成像技术：自适应核磁像素优化技术，改善边界显示，提高分辨率，减少伪像，支持所有成像探头，可分级调节≥5级。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（10）</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全数字化通道数≥4690000；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（12）高分辨率液晶显示器≥21.5英寸,无闪烁，不间断逐行扫描，可前后折叠。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（13）双幅实时动态显示功能，同时显示黑白二维以及彩色血流的实时动态图像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（14）具备局部放大功能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（15）操作面板具备液晶触摸滑动屏≥12英寸。</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（16）智能图像优化技术或智能化组织均衡技术，单键实时优化二维图像、频谱多普勒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（17）侧向增益补偿功能，能在操作触摸屏上数字化调节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（18）主机自动实时持续优化图像增益及TGC，</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（19）</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具备全屏高清放大功能，放大后图像显示区域尺寸≥21.5”，显示比例≥16：9，分辨率≥1080p（1920x1080）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（20）具备智能多普勒血管检查技术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①</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单键优化二维、多普勒图像质量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②</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单键自动调整取样框角度、位置、取样门位置、角度等</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③</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具备血流自动追踪技术，能跟随探头的移动实时追踪血管位置，自动调整彩色图像（包括取样框角度、位置等），自动优化频谱测量以保证测量值的准确性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（21）具备弹性成像及弹性定量分析技术采用敏感的取样技术。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①</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双幅实时对比模式、多种灰阶及彩色弹性模式、半叠加及全叠加成像模式。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②</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提供直径及面积比、应变及参数成像三种定量分析工具。</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③</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回声识别成像（AI）技术，该技术准确识别无回声组织与有回声组织并不受二维灰阶增益影响，鉴别低回声区域内的回声强度，为无回声组织鉴别诊断提供更多准确信息。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2.系统功能：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（1）主机具有一体化可升降操作面板</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（2）操作面板须有休眠键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主机高分辨率液晶显示器与操作面板液晶触摸滑动屏可实时同步显示超声诊断图像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可拓展支持三维立体成像技术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可拓展支持三维容积探头≥2支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3.探头规格</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（1）频率：超宽频探头技术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（2）类型：相控阵探头、凸阵探头、高频线阵探头</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（3）探头接口：≥4个激活探头接口，接口大小一致,互相通用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4.二维显像参数：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（1）▲探头配置：相控阵探头，凸阵探头，浅表小器官探头，浅表血管探头，</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（2）显示方式：B、B/B、B/M、B/C Live</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（3）扫描速率：腹部探头， 85°角,18CM深度时,帧速度≥43帧/秒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（4）扫描速率：相控阵探头，85°角,18CM深度时,帧速度≥55帧/秒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（5）接收方式：多倍信号并行处理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（6）数字是声束形成器：数字式动态聚焦，数字式可变孔径及动态变迹</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（7）预设条件：针对不同的检查脏器，预置最佳化图像的检查条件，减少操作时的调节及常用所需的外部调节及组合调节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（8）数字化TGC功能：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①</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在主机触摸滑动屏上可直接进行TGC增益补偿任意多段调节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②在主机操作面板上须有≥8段TGC 调节功能键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（9）</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主机触摸液晶滑动屏上可直接进行LGC侧向增益补偿多段调节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（10）线阵探头梯形成像技术，具有二维和彩色两种模式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（11）</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在主机液晶触摸滑动屏上须有腹部穿透模式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（12）</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可全屏显示实时超声检查图像≥21.5英寸</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5.频谱多普勒：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（1）方式：脉冲多普勒（PW）、连续多普勒（CW）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（2）最大测量速度：</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① PWD正或反向血流速度：≥ 10.0 m/s</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②CWD:血流速度≥25.0m/s（</w:t>
            </w:r>
            <w:r>
              <w:rPr>
                <w:rFonts w:hint="eastAsia" w:ascii="宋体" w:hAnsi="宋体" w:eastAsia="宋体" w:cs="宋体"/>
                <w:color w:val="E74C3C"/>
                <w:sz w:val="24"/>
                <w:szCs w:val="24"/>
                <w:bdr w:val="none" w:color="auto" w:sz="0" w:space="0"/>
              </w:rPr>
              <w:t>附图佐证</w:t>
            </w:r>
            <w:r>
              <w:rPr>
                <w:rFonts w:hint="eastAsia" w:ascii="宋体" w:hAnsi="宋体" w:eastAsia="宋体" w:cs="宋体"/>
                <w:sz w:val="24"/>
                <w:szCs w:val="24"/>
                <w:bdr w:val="none" w:color="auto" w:sz="0" w:space="0"/>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（3）最低测量速度：≤ 0.28mm/s (非噪音信号)</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（4）显示方式：B/PW、B/C/PW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（5）取样宽度及位置范围：1.0-20mm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6.彩色多普勒：</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（1）显示方式：实时三同步（B/C/PW）</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（2）显示位置调整：线阵扫描感兴趣的图像范围：﹣20°～﹢20°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（3）彩色增强功能：彩色多普勒能量图</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7.测量软件包：</w:t>
            </w:r>
            <w:r>
              <w:rPr>
                <w:rFonts w:hint="eastAsia" w:ascii="宋体" w:hAnsi="宋体" w:eastAsia="宋体" w:cs="宋体"/>
                <w:sz w:val="24"/>
                <w:szCs w:val="24"/>
                <w:bdr w:val="none" w:color="auto" w:sz="0" w:space="0"/>
              </w:rPr>
              <w:t>一般测量:全身临床软件包</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8.图像存储回放重现及病案管理：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（1）超声图像静态、动态存储，原始数据回放重新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（2）病案管理部件包括：病人资料、报告、图像等的存储、修改、检索和打印等</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9.信号链接接口：</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主机内置一体化USB接口，支持包括优盘在内的多种移动存储设备</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10.图像管理与记录装置：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（1）硬盘容量≥500GB</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（2）超声图像以PC通用格式直接存储，无需特殊软件即能在普通PC机上直接观看图像</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标的名称：便携式彩超</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6"/>
        <w:gridCol w:w="552"/>
        <w:gridCol w:w="917"/>
        <w:gridCol w:w="659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Style w:val="8"/>
                <w:rFonts w:hint="eastAsia" w:ascii="宋体" w:hAnsi="宋体" w:eastAsia="宋体" w:cs="宋体"/>
                <w:sz w:val="24"/>
                <w:szCs w:val="24"/>
                <w:bdr w:val="none" w:color="auto" w:sz="0" w:space="0"/>
              </w:rPr>
              <w:t>（1）★</w:t>
            </w:r>
            <w:r>
              <w:rPr>
                <w:rFonts w:hint="eastAsia" w:ascii="宋体" w:hAnsi="宋体" w:eastAsia="宋体" w:cs="宋体"/>
                <w:sz w:val="24"/>
                <w:szCs w:val="24"/>
                <w:bdr w:val="none" w:color="auto" w:sz="0" w:space="0"/>
              </w:rPr>
              <w:t>配置要求：主机，液压升降台车（包括：耦合剂杯套组、储物篮、打印机架、AC电源及电源线、辅助输出电源线、纸巾架），线阵探头一支，凸阵探头一支；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（2）▲≥15寸无缝纯平投射式电容屏，为全触摸屏操作，支持单点、多点、滑动、缩放操作；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（3）▲主机内置≥3个可激活探头接口（非扩展器连接），可互换通用；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（4）主机可与台车分离单独开展扫查工作；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（5）主机重量≤7.5kg，包括可充电电池</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（6）具备二维成像模式、彩色多普勒成像模式、频谱多普勒成像模式。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（7）具备组织谐波成像、组织特异性成像、频率复合成像、空间复合成像、斑点抑制成像功能。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（8）具备一键自动优化（包括应用于二维、彩色及频谱模式，彩色多普勒自动识别，包括ROI框位置、角度自动改变）。</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（9）具备智能血流跟踪（根据血管走行，自动识别并跟踪血管，自动调整彩色取样框的位置和角度，自动调整PW取样门的大小和角度，具备多普勒自动识别功能）。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（10）具备自动锁屏功能，开机状态下锁屏时间≤10秒，便于术中屏幕清洁。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（11）常规测量包，包括距离测量、椭圆及描迹测量面积周长、体积测量。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（12）全科测量包，自动生成报告，涵盖神经、肌骨、腹部、产科、妇科、小器官、泌尿、血管。</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（13）▲增益调节：TGC增益补偿≥7段。</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rFonts w:hint="eastAsia" w:ascii="宋体" w:hAnsi="宋体" w:eastAsia="宋体" w:cs="宋体"/>
                <w:sz w:val="24"/>
                <w:szCs w:val="24"/>
                <w:bdr w:val="none" w:color="auto" w:sz="0" w:space="0"/>
              </w:rPr>
              <w:t>（14）探头：线阵探头一支，扫描频率3.0～11.0MHz；凸阵探头一支，扫描频率2.0～5.0MHz</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标的名称：移动式平板C形臂X射线机</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5"/>
        <w:gridCol w:w="539"/>
        <w:gridCol w:w="836"/>
        <w:gridCol w:w="668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left"/>
              <w:rPr>
                <w:sz w:val="24"/>
                <w:szCs w:val="24"/>
              </w:rPr>
            </w:pP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1.高压发生器</w:t>
            </w:r>
            <w:r>
              <w:rPr>
                <w:rStyle w:val="8"/>
                <w:sz w:val="24"/>
                <w:szCs w:val="24"/>
                <w:bdr w:val="none" w:color="auto" w:sz="0" w:space="0"/>
              </w:rPr>
              <w:t> </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（1）最大输出功率≥3.5kW</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（2）透视最大KV值≥110kV，透视最小KV值≤40kV。</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发生器频率≥110kHz透视最大mA值≥30mA。</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 摄影最大mA值≥100mA。</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（5）</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最大摄影mAs：≥280mAs。</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2.球管系统</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（1）球管类型：固定阳极。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具备双焦点：小焦点≤0.6mm ，大焦点≥1.0mm。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（3）管套热容量≥800KHU。</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（4）预警、曝光、故障分别有不同颜色灯光提示。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3.平板探测器 </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（1）平板探测器材质：CMOS晶体硅或非晶硅。</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（2）探测器尺寸≥20cm*20cm。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（3）图像采集最大像素矩阵≥1024x1024。</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（4）图像动态范围：≥17。</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（5）采用不小于千兆网无线路由器与动态平板探测器连接。</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4.系统控制</w:t>
            </w:r>
            <w:r>
              <w:rPr>
                <w:rStyle w:val="8"/>
                <w:sz w:val="24"/>
                <w:szCs w:val="24"/>
                <w:bdr w:val="none" w:color="auto" w:sz="0" w:space="0"/>
              </w:rPr>
              <w:t> </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（1）液晶触摸屏：具备支持多点触控操作调整参数。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（2）控制界面：采用嵌入式人体图形化液晶触摸屏控制界面。</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（3）手持控制器：支持调节C臂升降和限束器状态。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手持控制器：支持调节调整透视模式和透视剂量。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（5）</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采用无线工作站：C臂与工作站之间无线缆连接。</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（6）图像处理软件：基于GPU的快速动态图像处理与显示平台。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5. C形臂机架</w:t>
            </w:r>
            <w:r>
              <w:rPr>
                <w:rStyle w:val="8"/>
                <w:sz w:val="24"/>
                <w:szCs w:val="24"/>
                <w:bdr w:val="none" w:color="auto" w:sz="0" w:space="0"/>
              </w:rPr>
              <w:t> </w:t>
            </w:r>
            <w:r>
              <w:rPr>
                <w:rStyle w:val="8"/>
                <w:rFonts w:hint="eastAsia" w:ascii="宋体" w:hAnsi="宋体" w:eastAsia="宋体" w:cs="宋体"/>
                <w:sz w:val="24"/>
                <w:szCs w:val="24"/>
                <w:bdr w:val="none" w:color="auto" w:sz="0" w:space="0"/>
              </w:rPr>
              <w:t> </w:t>
            </w:r>
            <w:r>
              <w:rPr>
                <w:sz w:val="24"/>
                <w:szCs w:val="24"/>
                <w:bdr w:val="none" w:color="auto" w:sz="0" w:space="0"/>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（1）C臂与工作站之间无线缆连接。</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（2）沿轨道旋转≥135°, 左右摆角≥±15°。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（3）诊视空间：SID≥1000mm、开口≥800mm、弧深≥670mm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（4）水平移动≥20cm, 垂直升降电动≥40cm。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6.配置要求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Fonts w:hint="eastAsia" w:ascii="宋体" w:hAnsi="宋体" w:eastAsia="宋体" w:cs="宋体"/>
                <w:sz w:val="24"/>
                <w:szCs w:val="24"/>
                <w:bdr w:val="none" w:color="auto" w:sz="0" w:space="0"/>
              </w:rPr>
              <w:t>高频高压发生器、X射线管组件、限束器、平板探测器、液晶显示器、C形臂机架、滤线珊、手持控制器、脚踏开关、红光十字定位器、无线WIFI传输数字采集处理工作站、DAP剂量显示系统各1套。</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标的名称：电子胃肠镜</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3"/>
        <w:gridCol w:w="519"/>
        <w:gridCol w:w="1105"/>
        <w:gridCol w:w="643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技术参数与性能指标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1.图像处理器：1台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（1）全高清视频图像信号输出。</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（2）有DVI、SDI、CVBS、VGA、S-VIDEO等信号输出方式。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（3）有红色调、蓝色调及饱和度调节功能。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（4）有自动增益功能：开/关。</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（5）测光模式调节功能：平均测光、峰值测光、全自动测光。</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（6）色彩增强功能：至少三档可调。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（7）轮廓强调功能：至少三档可调。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（8）构造调节功能：至少三档可调。</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（9）对比度调节功能：高、中、低。</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（10）白平衡记忆功能。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（11）</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具有电子放大功能，最大的放大倍数≥4倍。</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（12）有内置的图像保存和视频录制功能，支持图像查看、视频回放。</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（13）</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有硬盘存储，具有内置病历管理系统，支持病历管理功能，可查看、编辑、保存、预览、打印病历报告以及病历报告检索。可通过USB接口导出视频、图像、报告等信息，方便临床多场地多科室使用。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（14）具有图像冻结功能。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（15）</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兼容电子胃镜、电子肠镜、放大胃镜、放大肠镜、超声内镜、电子支气管镜、电子鼻咽喉镜。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2.冷光源：1台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（1）多光谱照明光源，采用两路LED光组，具有良好的色彩还原性及亮度同时延长光源使用寿命，使用寿命≥10000小时</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支持白光和两种特殊光照明模式，共有三种照明模式，满足对中远景及近景早期病变的筛查，提高早起病变发现率与活检准确性。</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（3）具有手动和自动两种调光模式；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（4）主灯灯泡寿命具有指示灯显示，可随时掌握主灯剩余寿命情况；具有透光模式；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3.电子上消化道内窥镜（光学放大镜）：1条</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（1）视场角：广角模式≥140 ° , 长焦模式≥90 °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观察景深：广角模式≥3-100mm，长焦模式≥1.5-3.0mm；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头端部外径≤10.8mm；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（4）插入部主软管外径≤10.5mm；具备辅助送水功能；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（5）弯曲角度：向上≥210 ° , 向下≥90 ° , 左右均≥100 ° ;</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（6）最小器械孔道内径≥2.8mm；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（7）镜体操作部具有4个自定义功能远程控制按钮（水气按钮和吸引按钮除外）</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（8）导光部使用一键式插拔设计，无需使用防水帽，可直接洗消</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4.电子下消化道内窥镜：1条</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（1）具有刚度可调功能，便于医生操作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（2）视场角：≥170°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（3）景深：2-100mm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头端部外径≤10.8mm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插入部主软管外径≤11.5mm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（6）弯曲角度：上下均≥180°，左右均≥160°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（7）最小器械孔道内径≥3.2mm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具备辅助送水功能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（9）镜体操作部具有4个自定义功能远程控制按钮（水气按钮和吸引按钮除外）</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（10）导光部使用一键式插拔设计，无需使用防水帽，可直接洗消</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5.电子上消化道内窥镜 ：1条</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（1）视场角≥145°；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（2）景深：2-100mm；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（3）头端部外径≤9.7mm；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w:t>
            </w:r>
            <w:r>
              <w:rPr>
                <w:rStyle w:val="8"/>
                <w:rFonts w:hint="eastAsia" w:ascii="宋体" w:hAnsi="宋体" w:eastAsia="宋体" w:cs="宋体"/>
                <w:sz w:val="24"/>
                <w:szCs w:val="24"/>
                <w:bdr w:val="none" w:color="auto" w:sz="0" w:space="0"/>
              </w:rPr>
              <w:t>▲</w:t>
            </w:r>
            <w:r>
              <w:rPr>
                <w:rFonts w:hint="eastAsia" w:ascii="宋体" w:hAnsi="宋体" w:eastAsia="宋体" w:cs="宋体"/>
                <w:sz w:val="24"/>
                <w:szCs w:val="24"/>
                <w:bdr w:val="none" w:color="auto" w:sz="0" w:space="0"/>
              </w:rPr>
              <w:t>插入外部主软管外径≤9.6mm；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（5）最小器械孔道内径≥3.2mm；</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（6）弯曲角度：上 210°下 120°，左右各 100°；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（7）镜体操作部具有 4 个自定义功能远程控制按钮（水气按钮和吸引按钮除外）.</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（8）具备有辅助送水功能；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6.医用专业液晶彩色显示器 ：1台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（1）≥27寸医用液晶显示器，分辨率：≥1920*1080P</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7.台车 ：1台</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内镜专用台车：台车具有显示器挂架及内镜挂架</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总备注（无需文字响应）</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color w:val="E74C3C"/>
                <w:sz w:val="24"/>
                <w:szCs w:val="24"/>
                <w:u w:val="single"/>
                <w:bdr w:val="none" w:color="auto" w:sz="0" w:space="0"/>
              </w:rPr>
              <w:t>以下内容无需文字响应，但供应商应当知晓并按以下要求编制响应文件：</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1、本项目核心产品：血液透析装置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2、以上参数带“★”为实质性要求，不满足作无效投标处理；带“▲”为重要参数，不满足作扣分处理。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rStyle w:val="8"/>
                <w:rFonts w:hint="eastAsia" w:ascii="宋体" w:hAnsi="宋体" w:eastAsia="宋体" w:cs="宋体"/>
                <w:sz w:val="24"/>
                <w:szCs w:val="24"/>
                <w:bdr w:val="none" w:color="auto" w:sz="0" w:space="0"/>
              </w:rPr>
              <w:t>3、带“▲”号条款须提供佐证证明材料。佐证材料除指定要求须按要求提供外，其余佐证材料可任选以下一种或多种：技术白皮书（至少应包含产品品牌、型号、制造商），产品说明书，专业检测机构出具的检测报告复印件，原始制造商宣传彩页。佐证材料未提供或佐证材料与投标响应不一致或多种佐证材料不一致的均视为不满足。</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4、采购清单中产品的技术参数描述如与特定品牌或者型号相匹配，仅作为技术参考，不代表特定产品，如参数中出现品牌或型号仅供参考，供应商可提供等同或优于参数要求的产品；</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sz w:val="24"/>
                <w:szCs w:val="24"/>
              </w:rPr>
            </w:pPr>
            <w:r>
              <w:rPr>
                <w:rFonts w:hint="eastAsia" w:ascii="宋体" w:hAnsi="宋体" w:eastAsia="宋体" w:cs="宋体"/>
                <w:sz w:val="24"/>
                <w:szCs w:val="24"/>
                <w:bdr w:val="none" w:color="auto" w:sz="0" w:space="0"/>
              </w:rPr>
              <w:t>5、除采购文件明确要求以外，本项目采购清单中采购标的名称，因采购人不能穷尽详列或通俗认知等原因，可能供应商提供的产品所对应的证书、证明材料对产品命名存在差别的，在满足技术参数要求前提下，本项目给予认可。</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3.3.服务要求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3.3.1.服务内容要求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1"/>
        <w:gridCol w:w="482"/>
        <w:gridCol w:w="493"/>
        <w:gridCol w:w="709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服务要求名称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服务要求内容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质量要求</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Style w:val="8"/>
                <w:rFonts w:hint="eastAsia" w:ascii="宋体" w:hAnsi="宋体" w:eastAsia="宋体" w:cs="宋体"/>
                <w:b/>
                <w:sz w:val="24"/>
                <w:szCs w:val="24"/>
                <w:bdr w:val="none" w:color="auto" w:sz="0" w:space="0"/>
              </w:rPr>
              <w:t>(1)投标人提供的产品为最新生产的全新的原装正品（含零部件、配件等），表面无划伤、无碰撞痕迹，且权属清楚，不得侵害他人的知识产权。各项指标符合出产国检测标准和出厂标准，各项技术参数符合招标文件要求和投标人投标文件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Style w:val="8"/>
                <w:rFonts w:hint="eastAsia" w:ascii="宋体" w:hAnsi="宋体" w:eastAsia="宋体" w:cs="宋体"/>
                <w:b/>
                <w:sz w:val="24"/>
                <w:szCs w:val="24"/>
                <w:bdr w:val="none" w:color="auto" w:sz="0" w:space="0"/>
              </w:rPr>
              <w:t>(2)产品须符合或优于国家(行业)标准、地方标准或者其他标准、规范要求。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Style w:val="8"/>
                <w:rFonts w:hint="eastAsia" w:ascii="宋体" w:hAnsi="宋体" w:eastAsia="宋体" w:cs="宋体"/>
                <w:b/>
                <w:sz w:val="24"/>
                <w:szCs w:val="24"/>
                <w:bdr w:val="none" w:color="auto" w:sz="0" w:space="0"/>
              </w:rPr>
              <w:t>(3)产品制造质量出现问题，投标人应负责三包(包修、包换、包退)，费用由投标人负担，采购人有权到产品生产厂家生产场地检查货物质量和生产进度。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Fonts w:hint="eastAsia" w:ascii="宋体" w:hAnsi="宋体" w:eastAsia="宋体" w:cs="宋体"/>
                <w:b/>
                <w:bCs/>
                <w:sz w:val="24"/>
                <w:szCs w:val="24"/>
                <w:bdr w:val="none" w:color="auto" w:sz="0" w:space="0"/>
              </w:rPr>
              <w:t>(4)投标人所提供与本项目相关的所有货物送到安装地点时，须通知采购人项目负责人、资产管理员到场依据合同清单确认并签字后方可实施安装，如所供货物与合同清单不一致的，采购人将采取退货处理并追究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Style w:val="8"/>
                <w:rFonts w:hint="eastAsia" w:ascii="宋体" w:hAnsi="宋体" w:eastAsia="宋体" w:cs="宋体"/>
                <w:b/>
                <w:sz w:val="24"/>
                <w:szCs w:val="24"/>
                <w:bdr w:val="none" w:color="auto" w:sz="0" w:space="0"/>
              </w:rPr>
              <w:t>(5)投标人所交产品不符合规定或质量不合格的，由投标人负责在合同约定的交货时间内整改，并承担换货而支付的一切费用。投标人不能调换的，按不能交货处理。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both"/>
              <w:rPr>
                <w:b/>
                <w:bCs/>
                <w:sz w:val="39"/>
                <w:szCs w:val="39"/>
              </w:rPr>
            </w:pPr>
            <w:r>
              <w:rPr>
                <w:rStyle w:val="8"/>
                <w:rFonts w:hint="eastAsia" w:ascii="宋体" w:hAnsi="宋体" w:eastAsia="宋体" w:cs="宋体"/>
                <w:b/>
                <w:sz w:val="24"/>
                <w:szCs w:val="24"/>
                <w:bdr w:val="none" w:color="auto" w:sz="0" w:space="0"/>
              </w:rPr>
              <w:t>（6）投标人应保证所投产品须是原制造商生产，全新的（设备生产日期≤3个月）、未使用过的(包括零部件，专用工具等)。属医疗器械管理的产品其生产，注册，销售，包装(包括标识，标牌)，运输，安装及使用、维护等符合2023年国务院修改颁发的《医疗器械监督管理条例》相关规定（在2023年修致颁发《医疗器械监督管理条例》以后注册的产品说明书, 标识(签)等符合第二十七条的相关规定）。</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质保期及质保要求</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15" w:right="0" w:firstLine="458"/>
              <w:rPr>
                <w:sz w:val="24"/>
                <w:szCs w:val="24"/>
              </w:rPr>
            </w:pPr>
            <w:r>
              <w:rPr>
                <w:rFonts w:hint="eastAsia" w:ascii="宋体" w:hAnsi="宋体" w:eastAsia="宋体" w:cs="宋体"/>
                <w:sz w:val="24"/>
                <w:szCs w:val="24"/>
                <w:bdr w:val="none" w:color="auto" w:sz="0" w:space="0"/>
              </w:rPr>
              <w:t>（1）质保期≥1年（自使用验收合格之日起计算质保期，单独注明质保期的除外）。在质保期内，投标人对所提供的货物进行维修维护，投标人技术服务人员的一切费用自理。因维修所耽误使用物品时间应顺延质保时间，按每耽误1天顺延20天计。</w:t>
            </w:r>
          </w:p>
          <w:tbl>
            <w:tblPr>
              <w:tblW w:w="667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648"/>
              <w:gridCol w:w="4669"/>
              <w:gridCol w:w="1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693"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Style w:val="8"/>
                      <w:rFonts w:hint="eastAsia" w:ascii="宋体" w:hAnsi="宋体" w:eastAsia="宋体" w:cs="宋体"/>
                      <w:sz w:val="24"/>
                      <w:szCs w:val="24"/>
                      <w:bdr w:val="none" w:color="auto" w:sz="0" w:space="0"/>
                    </w:rPr>
                    <w:t>序号</w:t>
                  </w:r>
                </w:p>
              </w:tc>
              <w:tc>
                <w:tcPr>
                  <w:tcW w:w="4404"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Style w:val="8"/>
                      <w:rFonts w:hint="eastAsia" w:ascii="宋体" w:hAnsi="宋体" w:eastAsia="宋体" w:cs="宋体"/>
                      <w:sz w:val="24"/>
                      <w:szCs w:val="24"/>
                      <w:bdr w:val="none" w:color="auto" w:sz="0" w:space="0"/>
                    </w:rPr>
                    <w:t>设备名称</w:t>
                  </w:r>
                </w:p>
              </w:tc>
              <w:tc>
                <w:tcPr>
                  <w:tcW w:w="1565"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Style w:val="8"/>
                      <w:rFonts w:hint="eastAsia" w:ascii="宋体" w:hAnsi="宋体" w:eastAsia="宋体" w:cs="宋体"/>
                      <w:sz w:val="24"/>
                      <w:szCs w:val="24"/>
                      <w:bdr w:val="none" w:color="auto" w:sz="0" w:space="0"/>
                    </w:rPr>
                    <w:t>质保要求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血液透析装置</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2</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血液透析滤过装置</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3</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血液透析用制水设备</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4</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医用空气消毒机</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5</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台式全数字彩色超声诊断系统</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≥3年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6</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便携式彩超</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≥3年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7</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移动式平板C形臂X射线机</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693"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8</w:t>
                  </w:r>
                </w:p>
              </w:tc>
              <w:tc>
                <w:tcPr>
                  <w:tcW w:w="5625" w:type="dxa"/>
                  <w:tcBorders>
                    <w:top w:val="nil"/>
                    <w:left w:val="single" w:color="000000" w:sz="6" w:space="0"/>
                    <w:bottom w:val="single" w:color="000000" w:sz="6" w:space="0"/>
                    <w:right w:val="single" w:color="000000" w:sz="6" w:space="0"/>
                  </w:tcBorders>
                  <w:shd w:val="clear"/>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电子胃肠镜</w:t>
                  </w:r>
                </w:p>
              </w:tc>
              <w:tc>
                <w:tcPr>
                  <w:tcW w:w="1565"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jc w:val="center"/>
                    <w:rPr>
                      <w:sz w:val="24"/>
                      <w:szCs w:val="24"/>
                    </w:rPr>
                  </w:pPr>
                  <w:r>
                    <w:rPr>
                      <w:rFonts w:hint="eastAsia" w:ascii="宋体" w:hAnsi="宋体" w:eastAsia="宋体" w:cs="宋体"/>
                      <w:sz w:val="24"/>
                      <w:szCs w:val="24"/>
                      <w:bdr w:val="none" w:color="auto" w:sz="0" w:space="0"/>
                    </w:rPr>
                    <w:t>≥3年</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15" w:right="0" w:firstLine="458"/>
              <w:rPr>
                <w:sz w:val="24"/>
                <w:szCs w:val="24"/>
              </w:rPr>
            </w:pPr>
            <w:r>
              <w:rPr>
                <w:rFonts w:hint="eastAsia" w:ascii="宋体" w:hAnsi="宋体" w:eastAsia="宋体" w:cs="宋体"/>
                <w:sz w:val="24"/>
                <w:szCs w:val="24"/>
                <w:bdr w:val="none" w:color="auto" w:sz="0" w:space="0"/>
              </w:rPr>
              <w:t>（2）质保期内出现质量问题，投标人在接到采购人通知后1小时内响应，24小时内到场，48小时内完成维修或更换，并承担修理调换的费用。</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15" w:right="0" w:firstLine="458"/>
              <w:rPr>
                <w:sz w:val="24"/>
                <w:szCs w:val="24"/>
              </w:rPr>
            </w:pPr>
            <w:r>
              <w:rPr>
                <w:rFonts w:hint="eastAsia" w:ascii="宋体" w:hAnsi="宋体" w:eastAsia="宋体" w:cs="宋体"/>
                <w:sz w:val="24"/>
                <w:szCs w:val="24"/>
                <w:bdr w:val="none" w:color="auto" w:sz="0" w:space="0"/>
              </w:rPr>
              <w:t>（3）在验收期或质保期内，如果货物的数量、规格、质量或性能与合同和投标文件不符，或证实货物是有缺陷的，包括潜在的缺陷或使用不符合要求的材料等，采购人有权要求中标人退货或采取相应补救措施。</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付款进度安排</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color w:val="E74C3C"/>
                <w:sz w:val="24"/>
                <w:szCs w:val="24"/>
                <w:bdr w:val="none" w:color="auto" w:sz="0" w:space="0"/>
              </w:rPr>
              <w:t>【因一体化系统固化，3.3.2.商务要求中的付款进度安排不适用本项目，供应商应答“ 付款进度安排”时，可仅应答本条要求即可，对于3.3.2.商务要求中“付款进度安排”要求的应答不作强制要求】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rPr>
                <w:sz w:val="24"/>
                <w:szCs w:val="24"/>
              </w:rPr>
            </w:pPr>
            <w:r>
              <w:rPr>
                <w:rFonts w:hint="eastAsia" w:ascii="宋体" w:hAnsi="宋体" w:eastAsia="宋体" w:cs="宋体"/>
                <w:sz w:val="24"/>
                <w:szCs w:val="24"/>
                <w:bdr w:val="none" w:color="auto" w:sz="0" w:space="0"/>
              </w:rPr>
              <w:t>因资金性质为地方专项债，资金待财政拨款后进行支付，货物验收合格后3个月内支付至合同金额的30%，6个月内支付至合同金额的95%，剩下的5%验收合格后1年内支付。</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sz w:val="24"/>
          <w:szCs w:val="24"/>
          <w:bdr w:val="none" w:color="auto" w:sz="0" w:space="0"/>
          <w:shd w:val="clear" w:fill="FFFFFF"/>
        </w:rPr>
        <w:t>3.3.2.商务要求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采购包1：</w:t>
      </w:r>
    </w:p>
    <w:tbl>
      <w:tblPr>
        <w:tblW w:w="500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83"/>
        <w:gridCol w:w="519"/>
        <w:gridCol w:w="1145"/>
        <w:gridCol w:w="639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49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序号</w:t>
            </w:r>
          </w:p>
        </w:tc>
        <w:tc>
          <w:tcPr>
            <w:tcW w:w="69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符号标识</w:t>
            </w:r>
          </w:p>
        </w:tc>
        <w:tc>
          <w:tcPr>
            <w:tcW w:w="1783"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商务要求名称</w:t>
            </w:r>
          </w:p>
        </w:tc>
        <w:tc>
          <w:tcPr>
            <w:tcW w:w="6935" w:type="dxa"/>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b/>
                <w:bCs/>
                <w:sz w:val="24"/>
                <w:szCs w:val="24"/>
              </w:rPr>
            </w:pPr>
            <w:r>
              <w:rPr>
                <w:rFonts w:ascii="宋体" w:hAnsi="宋体" w:eastAsia="宋体" w:cs="宋体"/>
                <w:b/>
                <w:bCs/>
                <w:kern w:val="0"/>
                <w:sz w:val="24"/>
                <w:szCs w:val="24"/>
                <w:bdr w:val="none" w:color="auto" w:sz="0" w:space="0"/>
                <w:lang w:val="en-US" w:eastAsia="zh-CN" w:bidi="ar"/>
              </w:rPr>
              <w:t>商务要求内容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1</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交货时间</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签订合同之日起60个日历天内送到采购人指定地点。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2</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交货地点</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乐山市五通桥区中医医院</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3</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支付方式</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分期付款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4</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付款进度安排</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1、进度款，因资金性质为地方专项债，资金待财政拨款后进行支付，货物验收合格后3个月内，达到付款条件起90日内，支付合同总金额的30.00%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2、进度款，货物验收合格后6个月内，达到付款条件起90日内，支付合同总金额的65.00%</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0"/>
              <w:rPr>
                <w:sz w:val="24"/>
                <w:szCs w:val="24"/>
              </w:rPr>
            </w:pPr>
            <w:r>
              <w:rPr>
                <w:sz w:val="24"/>
                <w:szCs w:val="24"/>
                <w:bdr w:val="none" w:color="auto" w:sz="0" w:space="0"/>
              </w:rPr>
              <w:t>3、尾款，货物验收合格后1年内，达到付款条件起90日内，支付合同总金额的5.00%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5</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验收、交付标准和方法</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1.履约验收主体：自行验收。 2.履约验收时间：投标人提出验收申请之日起30日内组织验收。 3.验收组织方式：自行验收。 4.履约验收程序： （1）安装验收：成交人在设备安装、调试、操作应用和维护保养培训后，可向采购人申请验收,采购人在接到申请验收后在5个工作日内组织完成安装验收。 （2）使用验收：安装验收合格后，进入60天试用期；试用期间发生一般性质量问题，修复后试用期相应顺延；试用期结束后15日内完成最终验收。 5.技术履约验收内容： 按照本项目采购文件中“采购清单及技术要求”及成交投标人响应文件进行验收。 6.商务履约验收内容： 按照本项目采购文件中“采购合同条款”及成交投标人响应文件进行验收。 7.履约验收标准： 验收严格按照《财政部关于进一步加强政府采购需求和履约验收管理的指导意见》（财库〔2016〕205号）的要求组织验收，以采购文件、合同要求及成交投标人响应文件技术响应为准。如出现未在采购文件中明确规定的，以行业相关标准为准。如采购双方如对质量要求和技术指标的约定标准有相互抵触或异议的事项，由采购人在采购与中标人的响应文件中按质量要求和技术指标、行业标准比较优胜的原则确定该项的约定标准进行验收。 8.验收程序和内容： 采购合同条款和技术条款均逐条验收。 9.验收相关事宜及法律责任： 如出现成交投标人提供虚假材料谋取成交或达不到采购要求的，采购方有权按政府采购相关法律法规向采购方同级财政部门汇报，追究其相关法律责任。</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6</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质量保修范围和保修期</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质保期≥1年（自使用验收合格之日起计算质保期，单独注明质保期的除外）。在质保期内，投标人对所提供的货物进行维修维护，投标人技术服务人员的一切费用自理。因维修所耽误使用物品时间应顺延质保时间，按每耽误1天顺延20天计。 （2）质保期内出现质量问题，投标人在接到采购人通知后1小时内响应，24小时内到场，48小时内完成维修或更换，并承担修理调换的费用。 （3）在验收期或质保期内，如果货物的数量、规格、质量或性能与合同和投标文件不符，或证实货物是有缺陷的，包括潜在的缺陷或使用不符合要求的材料等，采购人有权要求中标人退货或采取相应补救措施。</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7</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违约责任与解决争议的方法</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（1）风险处置措施：除不可抗力或者合同履行将损害国家利益和社会公共利益导致合同无法履行或者履行没有意义外，成交投标人不得放弃成交，成交投标人无故放弃成交的将承担由此带来的一切风险。 （2）其余内容双方在合同中约定。</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center"/>
              <w:rPr>
                <w:sz w:val="24"/>
                <w:szCs w:val="24"/>
              </w:rPr>
            </w:pPr>
            <w:r>
              <w:rPr>
                <w:rFonts w:ascii="宋体" w:hAnsi="宋体" w:eastAsia="宋体" w:cs="宋体"/>
                <w:kern w:val="0"/>
                <w:sz w:val="24"/>
                <w:szCs w:val="24"/>
                <w:bdr w:val="none" w:color="auto" w:sz="0" w:space="0"/>
                <w:lang w:val="en-US" w:eastAsia="zh-CN" w:bidi="ar"/>
              </w:rPr>
              <w:t>8</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包装方式及运输</w:t>
            </w:r>
          </w:p>
        </w:tc>
        <w:tc>
          <w:tcPr>
            <w:tcW w:w="0" w:type="auto"/>
            <w:tcBorders>
              <w:top w:val="single" w:color="000000" w:sz="6" w:space="0"/>
              <w:left w:val="single" w:color="000000" w:sz="6" w:space="0"/>
              <w:bottom w:val="single" w:color="000000" w:sz="6" w:space="0"/>
              <w:right w:val="single" w:color="000000" w:sz="6" w:space="0"/>
            </w:tcBorders>
            <w:shd w:val="clear"/>
            <w:tcMar>
              <w:left w:w="120" w:type="dxa"/>
              <w:right w:w="120" w:type="dxa"/>
            </w:tcMar>
            <w:vAlign w:val="center"/>
          </w:tcPr>
          <w:p>
            <w:pPr>
              <w:keepNext w:val="0"/>
              <w:keepLines w:val="0"/>
              <w:widowControl/>
              <w:suppressLineNumbers w:val="0"/>
              <w:wordWrap w:val="0"/>
              <w:spacing w:before="0" w:beforeAutospacing="0" w:after="0" w:afterAutospacing="0" w:line="480" w:lineRule="atLeast"/>
              <w:ind w:left="0" w:right="0" w:firstLine="0"/>
              <w:jc w:val="left"/>
              <w:rPr>
                <w:sz w:val="24"/>
                <w:szCs w:val="24"/>
              </w:rPr>
            </w:pPr>
            <w:r>
              <w:rPr>
                <w:rFonts w:ascii="宋体" w:hAnsi="宋体" w:eastAsia="宋体" w:cs="宋体"/>
                <w:kern w:val="0"/>
                <w:sz w:val="24"/>
                <w:szCs w:val="24"/>
                <w:bdr w:val="none" w:color="auto" w:sz="0" w:space="0"/>
                <w:lang w:val="en-US" w:eastAsia="zh-CN" w:bidi="ar"/>
              </w:rPr>
              <w:t>涉及的商品包装和快递包装，均应符合《商品包装政府采购需求标准（试行）》《快递包装政府采购需求标准（试行）》的要求，包装应适应于远距离运输、防潮、防震、防锈和防野蛮装卸，以确保货物安全无损运抵指定地点。</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jc w:val="left"/>
        <w:rPr>
          <w:rFonts w:hint="eastAsia" w:ascii="微软雅黑" w:hAnsi="微软雅黑" w:eastAsia="微软雅黑" w:cs="微软雅黑"/>
          <w:b/>
          <w:bCs/>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7"/>
          <w:szCs w:val="27"/>
          <w:bdr w:val="none" w:color="auto" w:sz="0" w:space="0"/>
          <w:shd w:val="clear" w:fill="FFFFFF"/>
        </w:rPr>
        <w:t>3.4.其他要求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firstLine="420"/>
        <w:jc w:val="left"/>
        <w:rPr>
          <w:sz w:val="24"/>
          <w:szCs w:val="24"/>
        </w:rPr>
      </w:pPr>
      <w:r>
        <w:rPr>
          <w:rFonts w:hint="eastAsia" w:ascii="微软雅黑" w:hAnsi="微软雅黑" w:eastAsia="微软雅黑" w:cs="微软雅黑"/>
          <w:i w:val="0"/>
          <w:iCs w:val="0"/>
          <w:caps w:val="0"/>
          <w:color w:val="0A82E5"/>
          <w:spacing w:val="0"/>
          <w:sz w:val="24"/>
          <w:szCs w:val="24"/>
          <w:bdr w:val="none" w:color="auto" w:sz="0" w:space="0"/>
          <w:shd w:val="clear" w:fill="FFFFFF"/>
        </w:rPr>
        <w:t>【以下内容均为实质性要求】1、报价要求：投标报价应是包括货物（含设备接入系统接口费）、材料（包含辅助、配套材料）、制造、包装、运输（包含装卸车费、人工运输费）等验收合格交付使用之前及保修服务与备用物件等所有其他有关各项的含税费用。 2、其他要求：（1）中标人在申请验收之前须向采购人提供产品原制造商完整的操作。应用、维护保养等中文资料(包括产品设置的所有密码并对采购人全开放)以及产品质量可追溯证明材料，必要时采购人有权要求中标人提供具有相应资质的第三方产品整机性能检测报告(包括检测报告原件)以及与质量相关的证明材料。中标人不能按时提供上述资料，采购人有权拒绝验收。（2）中标人提供货物的装箱清单、配件、随机工具、用户使用手册、原厂保修卡等资料交付给采购人；中标人不能完整交付货物及本款规定的单证和工具的，须负责补齐，否则视为未按合同约定交货。（3）如货物经中标人2次维修仍不能达到合同约定的质量标准，采购人有权退货，并视作中标人不能交付货物且须支付违约赔偿金给采购人，采购人还可依法追究中标人的违约责任。</w:t>
      </w:r>
    </w:p>
    <w:p>
      <w:pPr>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866F3B"/>
    <w:rsid w:val="7A866F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4">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26</Pages>
  <Words>0</Words>
  <Characters>0</Characters>
  <Lines>0</Lines>
  <Paragraphs>0</Paragraphs>
  <TotalTime>0</TotalTime>
  <ScaleCrop>false</ScaleCrop>
  <LinksUpToDate>false</LinksUpToDate>
  <CharactersWithSpaces>0</CharactersWithSpaces>
  <Application>WPS Office_12.8.2.15292_F1E327BC-269C-435d-A152-05C5408002CA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2025-04-02T06:48:00Z</dcterms:created>
  <dc:creator>admin</dc:creator>
  <cp:lastModifiedBy>admin</cp:lastModifiedBy>
  <dcterms:modified xsi:type="dcterms:W3CDTF">2025-04-02T06:49:20Z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2052-12.8.2.15292</vt:lpwstr>
  </property>
  <property fmtid="{D5CDD505-2E9C-101B-9397-08002B2CF9AE}" pid="3" name="ICV">
    <vt:lpwstr>B2A080DB2E094A29833F857F36019AE9_11</vt:lpwstr>
  </property>
</Properties>
</file>